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026A" w14:textId="40865BAB" w:rsidR="000A13C3" w:rsidRPr="00936821" w:rsidRDefault="00147B55" w:rsidP="000A13C3">
      <w:pPr>
        <w:jc w:val="both"/>
        <w:rPr>
          <w:rFonts w:cs="Arial"/>
          <w:b/>
          <w:u w:val="single"/>
        </w:rPr>
      </w:pPr>
      <w:bookmarkStart w:id="0" w:name="_Hlk113457036"/>
      <w:r w:rsidRPr="00264768">
        <w:rPr>
          <w:rFonts w:cs="Arial"/>
        </w:rPr>
        <w:t>Final Dedicated Schools Grant allocations for 2023/24 were published by the Department for Education on 16 December 2022</w:t>
      </w:r>
      <w:r>
        <w:rPr>
          <w:rFonts w:cs="Arial"/>
        </w:rPr>
        <w:t>.</w:t>
      </w:r>
    </w:p>
    <w:bookmarkEnd w:id="0"/>
    <w:p w14:paraId="43DD7872" w14:textId="77777777" w:rsidR="000A13C3" w:rsidRPr="00264768" w:rsidRDefault="000A13C3" w:rsidP="000A13C3">
      <w:pPr>
        <w:jc w:val="both"/>
        <w:rPr>
          <w:rFonts w:cs="Arial"/>
        </w:rPr>
      </w:pPr>
    </w:p>
    <w:p w14:paraId="22628263" w14:textId="77777777" w:rsidR="000A13C3" w:rsidRPr="00264768" w:rsidRDefault="00147B55" w:rsidP="000A13C3">
      <w:pPr>
        <w:jc w:val="both"/>
        <w:rPr>
          <w:rFonts w:cs="Arial"/>
        </w:rPr>
      </w:pPr>
      <w:r w:rsidRPr="00264768">
        <w:rPr>
          <w:rFonts w:cs="Arial"/>
        </w:rPr>
        <w:t xml:space="preserve">Lancashire's Gross </w:t>
      </w:r>
      <w:r w:rsidR="00552A37" w:rsidRPr="00264768">
        <w:rPr>
          <w:rFonts w:cs="Arial"/>
        </w:rPr>
        <w:t xml:space="preserve">2023/24 </w:t>
      </w:r>
      <w:r w:rsidRPr="00264768">
        <w:rPr>
          <w:rFonts w:cs="Arial"/>
        </w:rPr>
        <w:t>Dedicated Schools Grant allocation is £1,</w:t>
      </w:r>
      <w:r w:rsidR="001E61EC" w:rsidRPr="00264768">
        <w:rPr>
          <w:rFonts w:cs="Arial"/>
        </w:rPr>
        <w:t>2</w:t>
      </w:r>
      <w:r w:rsidR="006C4B5F" w:rsidRPr="00264768">
        <w:rPr>
          <w:rFonts w:cs="Arial"/>
        </w:rPr>
        <w:t>4</w:t>
      </w:r>
      <w:r w:rsidR="00BD56F8" w:rsidRPr="00264768">
        <w:rPr>
          <w:rFonts w:cs="Arial"/>
        </w:rPr>
        <w:t>3</w:t>
      </w:r>
      <w:r w:rsidR="001E61EC" w:rsidRPr="00264768">
        <w:rPr>
          <w:rFonts w:cs="Arial"/>
        </w:rPr>
        <w:t>.</w:t>
      </w:r>
      <w:r w:rsidR="0042111B" w:rsidRPr="00264768">
        <w:rPr>
          <w:rFonts w:cs="Arial"/>
        </w:rPr>
        <w:t>4</w:t>
      </w:r>
      <w:r w:rsidR="001E61EC" w:rsidRPr="00264768">
        <w:rPr>
          <w:rFonts w:cs="Arial"/>
        </w:rPr>
        <w:t>5</w:t>
      </w:r>
      <w:r w:rsidR="007451C6" w:rsidRPr="00264768">
        <w:rPr>
          <w:rFonts w:cs="Arial"/>
        </w:rPr>
        <w:t>m</w:t>
      </w:r>
      <w:r w:rsidR="00E55FF8">
        <w:rPr>
          <w:rFonts w:cs="Arial"/>
        </w:rPr>
        <w:t>.</w:t>
      </w:r>
    </w:p>
    <w:p w14:paraId="3830C2B1" w14:textId="77777777" w:rsidR="000A13C3" w:rsidRPr="00264768" w:rsidRDefault="000A13C3" w:rsidP="000A13C3">
      <w:pPr>
        <w:jc w:val="both"/>
        <w:rPr>
          <w:rFonts w:cs="Arial"/>
          <w:highlight w:val="yellow"/>
        </w:rPr>
      </w:pPr>
    </w:p>
    <w:p w14:paraId="41A9D904" w14:textId="77777777" w:rsidR="000A13C3" w:rsidRPr="00264768" w:rsidRDefault="00147B55" w:rsidP="000A13C3">
      <w:pPr>
        <w:jc w:val="both"/>
        <w:rPr>
          <w:rFonts w:cs="Arial"/>
        </w:rPr>
      </w:pPr>
      <w:r w:rsidRPr="00264768">
        <w:rPr>
          <w:rFonts w:cs="Arial"/>
        </w:rPr>
        <w:t xml:space="preserve">The equivalent Gross Dedicated Schools Grant income figure for </w:t>
      </w:r>
      <w:r w:rsidR="007451C6" w:rsidRPr="00264768">
        <w:rPr>
          <w:rFonts w:cs="Arial"/>
        </w:rPr>
        <w:t>2022/23</w:t>
      </w:r>
      <w:r w:rsidRPr="00264768">
        <w:rPr>
          <w:rFonts w:cs="Arial"/>
        </w:rPr>
        <w:t xml:space="preserve"> was £1,</w:t>
      </w:r>
      <w:r w:rsidR="007451C6" w:rsidRPr="00264768">
        <w:rPr>
          <w:rFonts w:cs="Arial"/>
        </w:rPr>
        <w:t>1</w:t>
      </w:r>
      <w:r w:rsidR="00576F0A" w:rsidRPr="00264768">
        <w:rPr>
          <w:rFonts w:cs="Arial"/>
        </w:rPr>
        <w:t>66</w:t>
      </w:r>
      <w:r w:rsidRPr="00264768">
        <w:rPr>
          <w:rFonts w:cs="Arial"/>
        </w:rPr>
        <w:t>.</w:t>
      </w:r>
      <w:r w:rsidR="007451C6" w:rsidRPr="00264768">
        <w:rPr>
          <w:rFonts w:cs="Arial"/>
        </w:rPr>
        <w:t>086</w:t>
      </w:r>
      <w:r w:rsidRPr="00264768">
        <w:rPr>
          <w:rFonts w:cs="Arial"/>
        </w:rPr>
        <w:t xml:space="preserve">m. The </w:t>
      </w:r>
      <w:r w:rsidR="007451C6" w:rsidRPr="00264768">
        <w:rPr>
          <w:rFonts w:cs="Arial"/>
        </w:rPr>
        <w:t>2023/24</w:t>
      </w:r>
      <w:r w:rsidRPr="00264768">
        <w:rPr>
          <w:rFonts w:cs="Arial"/>
        </w:rPr>
        <w:t xml:space="preserve"> figure is over £</w:t>
      </w:r>
      <w:r w:rsidR="00576F0A" w:rsidRPr="00264768">
        <w:rPr>
          <w:rFonts w:cs="Arial"/>
        </w:rPr>
        <w:t>70</w:t>
      </w:r>
      <w:r w:rsidRPr="00264768">
        <w:rPr>
          <w:rFonts w:cs="Arial"/>
        </w:rPr>
        <w:t>m higher than the previous year.</w:t>
      </w:r>
      <w:r w:rsidR="00712B11" w:rsidRPr="00264768">
        <w:rPr>
          <w:rFonts w:cs="Arial"/>
        </w:rPr>
        <w:t xml:space="preserve"> </w:t>
      </w:r>
      <w:r w:rsidR="002640A4" w:rsidRPr="00264768">
        <w:rPr>
          <w:rFonts w:cs="Arial"/>
        </w:rPr>
        <w:t>This increase</w:t>
      </w:r>
      <w:r w:rsidR="00712B11" w:rsidRPr="00264768">
        <w:rPr>
          <w:rFonts w:cs="Arial"/>
        </w:rPr>
        <w:t xml:space="preserve"> include</w:t>
      </w:r>
      <w:r w:rsidR="00DC7844" w:rsidRPr="00264768">
        <w:rPr>
          <w:rFonts w:cs="Arial"/>
        </w:rPr>
        <w:t>s</w:t>
      </w:r>
      <w:r w:rsidR="00712B11" w:rsidRPr="00264768">
        <w:rPr>
          <w:rFonts w:cs="Arial"/>
        </w:rPr>
        <w:t xml:space="preserve"> the </w:t>
      </w:r>
      <w:r w:rsidR="002640A4" w:rsidRPr="00264768">
        <w:rPr>
          <w:rFonts w:cs="Arial"/>
        </w:rPr>
        <w:t>Supplementary</w:t>
      </w:r>
      <w:r w:rsidR="00712B11" w:rsidRPr="00264768">
        <w:rPr>
          <w:rFonts w:cs="Arial"/>
        </w:rPr>
        <w:t xml:space="preserve"> grant being mainstreamed into our Allocation for </w:t>
      </w:r>
      <w:r>
        <w:rPr>
          <w:rFonts w:cs="Arial"/>
        </w:rPr>
        <w:t>20</w:t>
      </w:r>
      <w:r w:rsidR="00712B11" w:rsidRPr="00264768">
        <w:rPr>
          <w:rFonts w:cs="Arial"/>
        </w:rPr>
        <w:t>23/24</w:t>
      </w:r>
      <w:r w:rsidR="005C569E" w:rsidRPr="00264768">
        <w:rPr>
          <w:rFonts w:cs="Arial"/>
        </w:rPr>
        <w:t xml:space="preserve"> and the additional Mainstream </w:t>
      </w:r>
      <w:r w:rsidR="00D2761F" w:rsidRPr="00264768">
        <w:rPr>
          <w:rFonts w:cs="Arial"/>
        </w:rPr>
        <w:t xml:space="preserve">Schools Annual Grant for </w:t>
      </w:r>
      <w:r>
        <w:rPr>
          <w:rFonts w:cs="Arial"/>
        </w:rPr>
        <w:t>20</w:t>
      </w:r>
      <w:r w:rsidR="00D2761F" w:rsidRPr="00264768">
        <w:rPr>
          <w:rFonts w:cs="Arial"/>
        </w:rPr>
        <w:t>23/24</w:t>
      </w:r>
      <w:r>
        <w:rPr>
          <w:rFonts w:cs="Arial"/>
        </w:rPr>
        <w:t>.</w:t>
      </w:r>
    </w:p>
    <w:p w14:paraId="2BF74AB1" w14:textId="77777777" w:rsidR="000A13C3" w:rsidRPr="00264768" w:rsidRDefault="000A13C3" w:rsidP="000A13C3">
      <w:pPr>
        <w:jc w:val="both"/>
        <w:rPr>
          <w:rFonts w:cs="Arial"/>
          <w:highlight w:val="yellow"/>
        </w:rPr>
      </w:pPr>
    </w:p>
    <w:p w14:paraId="48F932C7" w14:textId="77777777" w:rsidR="000A13C3" w:rsidRPr="00264768" w:rsidRDefault="00147B55" w:rsidP="000A13C3">
      <w:pPr>
        <w:tabs>
          <w:tab w:val="num" w:pos="720"/>
        </w:tabs>
        <w:jc w:val="both"/>
        <w:rPr>
          <w:rFonts w:cs="Arial"/>
        </w:rPr>
      </w:pPr>
      <w:r w:rsidRPr="00264768">
        <w:rPr>
          <w:rFonts w:cs="Arial"/>
        </w:rPr>
        <w:t>This increase in funding is due to:</w:t>
      </w:r>
    </w:p>
    <w:p w14:paraId="1B1DEB44" w14:textId="77777777" w:rsidR="000A13C3" w:rsidRPr="00264768" w:rsidRDefault="000A13C3" w:rsidP="000A13C3">
      <w:pPr>
        <w:tabs>
          <w:tab w:val="num" w:pos="720"/>
        </w:tabs>
        <w:jc w:val="both"/>
        <w:rPr>
          <w:rFonts w:cs="Arial"/>
        </w:rPr>
      </w:pPr>
    </w:p>
    <w:p w14:paraId="65D7438D" w14:textId="77777777" w:rsidR="000A13C3" w:rsidRPr="00264768" w:rsidRDefault="00147B55" w:rsidP="000A13C3">
      <w:pPr>
        <w:numPr>
          <w:ilvl w:val="0"/>
          <w:numId w:val="7"/>
        </w:numPr>
        <w:contextualSpacing/>
        <w:jc w:val="both"/>
        <w:rPr>
          <w:rFonts w:cs="Arial"/>
        </w:rPr>
      </w:pPr>
      <w:r w:rsidRPr="00264768">
        <w:rPr>
          <w:rFonts w:cs="Arial"/>
        </w:rPr>
        <w:t xml:space="preserve">Lancashire's share of the increased £2.3bn funding nationally made available by </w:t>
      </w:r>
      <w:r w:rsidR="00833E58">
        <w:rPr>
          <w:rFonts w:cs="Arial"/>
        </w:rPr>
        <w:t xml:space="preserve">the </w:t>
      </w:r>
      <w:r w:rsidRPr="00264768">
        <w:rPr>
          <w:rFonts w:cs="Arial"/>
        </w:rPr>
        <w:t>Government</w:t>
      </w:r>
      <w:r w:rsidR="006F0F5B">
        <w:rPr>
          <w:rFonts w:cs="Arial"/>
        </w:rPr>
        <w:t>.</w:t>
      </w:r>
    </w:p>
    <w:p w14:paraId="0E476CBD" w14:textId="77777777" w:rsidR="004E5515" w:rsidRPr="00264768" w:rsidRDefault="00147B55" w:rsidP="000A13C3">
      <w:pPr>
        <w:numPr>
          <w:ilvl w:val="0"/>
          <w:numId w:val="7"/>
        </w:numPr>
        <w:contextualSpacing/>
        <w:jc w:val="both"/>
        <w:rPr>
          <w:rFonts w:cs="Arial"/>
        </w:rPr>
      </w:pPr>
      <w:r w:rsidRPr="00264768">
        <w:rPr>
          <w:rFonts w:cs="Arial"/>
        </w:rPr>
        <w:t>Mainstreaming of the Supplementary Grant into our total DSG Allocation</w:t>
      </w:r>
      <w:r w:rsidR="006F0F5B">
        <w:rPr>
          <w:rFonts w:cs="Arial"/>
        </w:rPr>
        <w:t>.</w:t>
      </w:r>
    </w:p>
    <w:p w14:paraId="65235371" w14:textId="77777777" w:rsidR="000A13C3" w:rsidRPr="00264768" w:rsidRDefault="00147B55" w:rsidP="000A13C3">
      <w:pPr>
        <w:numPr>
          <w:ilvl w:val="0"/>
          <w:numId w:val="7"/>
        </w:numPr>
        <w:contextualSpacing/>
        <w:jc w:val="both"/>
        <w:rPr>
          <w:rFonts w:cs="Arial"/>
        </w:rPr>
      </w:pPr>
      <w:r w:rsidRPr="00264768">
        <w:rPr>
          <w:rFonts w:cs="Arial"/>
        </w:rPr>
        <w:t>Lancashire's share of the increased £1</w:t>
      </w:r>
      <w:r w:rsidR="00753489" w:rsidRPr="00264768">
        <w:rPr>
          <w:rFonts w:cs="Arial"/>
        </w:rPr>
        <w:t>8</w:t>
      </w:r>
      <w:r w:rsidRPr="00264768">
        <w:rPr>
          <w:rFonts w:cs="Arial"/>
        </w:rPr>
        <w:t xml:space="preserve">0m nationally for the Early Years </w:t>
      </w:r>
      <w:r w:rsidR="002640A4" w:rsidRPr="00264768">
        <w:rPr>
          <w:rFonts w:cs="Arial"/>
        </w:rPr>
        <w:t>Block.</w:t>
      </w:r>
    </w:p>
    <w:p w14:paraId="17450C84" w14:textId="77777777" w:rsidR="000A13C3" w:rsidRPr="00264768" w:rsidRDefault="00147B55" w:rsidP="000A13C3">
      <w:pPr>
        <w:numPr>
          <w:ilvl w:val="0"/>
          <w:numId w:val="7"/>
        </w:numPr>
        <w:contextualSpacing/>
        <w:jc w:val="both"/>
        <w:rPr>
          <w:rFonts w:cs="Arial"/>
        </w:rPr>
      </w:pPr>
      <w:r w:rsidRPr="00264768">
        <w:rPr>
          <w:rFonts w:cs="Arial"/>
        </w:rPr>
        <w:t xml:space="preserve">An increase in the overall </w:t>
      </w:r>
      <w:r w:rsidR="00833E58">
        <w:rPr>
          <w:rFonts w:cs="Arial"/>
        </w:rPr>
        <w:t>number</w:t>
      </w:r>
      <w:r w:rsidRPr="00264768">
        <w:rPr>
          <w:rFonts w:cs="Arial"/>
        </w:rPr>
        <w:t xml:space="preserve"> of pupils in Lancashire compared to </w:t>
      </w:r>
      <w:r w:rsidR="008B004C" w:rsidRPr="00264768">
        <w:rPr>
          <w:rFonts w:cs="Arial"/>
        </w:rPr>
        <w:t>2022/23</w:t>
      </w:r>
      <w:r w:rsidR="006F0F5B">
        <w:rPr>
          <w:rFonts w:cs="Arial"/>
        </w:rPr>
        <w:t>.</w:t>
      </w:r>
    </w:p>
    <w:p w14:paraId="4EFDDE19" w14:textId="77777777" w:rsidR="00573399" w:rsidRPr="00264768" w:rsidRDefault="00573399" w:rsidP="000A13C3">
      <w:pPr>
        <w:jc w:val="both"/>
        <w:rPr>
          <w:rFonts w:cs="Arial"/>
        </w:rPr>
      </w:pPr>
    </w:p>
    <w:p w14:paraId="7C3E3D1F" w14:textId="77777777" w:rsidR="00573399" w:rsidRPr="00264768" w:rsidRDefault="00147B55" w:rsidP="000A13C3">
      <w:pPr>
        <w:jc w:val="both"/>
        <w:rPr>
          <w:rFonts w:cs="Arial"/>
        </w:rPr>
      </w:pPr>
      <w:r w:rsidRPr="00264768">
        <w:rPr>
          <w:rFonts w:cs="Arial"/>
        </w:rPr>
        <w:t xml:space="preserve">The sections below provide further details of the Lancashire Dedicated Schools Grant allocations and </w:t>
      </w:r>
      <w:r w:rsidR="00833E58">
        <w:rPr>
          <w:rFonts w:cs="Arial"/>
        </w:rPr>
        <w:t>present</w:t>
      </w:r>
      <w:r w:rsidRPr="00264768">
        <w:rPr>
          <w:rFonts w:cs="Arial"/>
        </w:rPr>
        <w:t xml:space="preserve"> the estimated Schools Budget for 2023/24.  </w:t>
      </w:r>
    </w:p>
    <w:p w14:paraId="7ABBB882" w14:textId="77777777" w:rsidR="00573399" w:rsidRPr="00264768" w:rsidRDefault="00573399" w:rsidP="000A13C3">
      <w:pPr>
        <w:jc w:val="both"/>
        <w:rPr>
          <w:rFonts w:cs="Arial"/>
        </w:rPr>
      </w:pPr>
    </w:p>
    <w:p w14:paraId="0EA242F3" w14:textId="77777777" w:rsidR="004E5515" w:rsidRPr="00264768" w:rsidRDefault="00147B55" w:rsidP="00372CC5">
      <w:pPr>
        <w:jc w:val="both"/>
        <w:rPr>
          <w:rFonts w:cs="Arial"/>
          <w:b/>
        </w:rPr>
      </w:pPr>
      <w:r w:rsidRPr="00264768">
        <w:rPr>
          <w:rFonts w:cs="Arial"/>
          <w:b/>
        </w:rPr>
        <w:t>DEDICATED SCHOOLS GRANT ALLOCATIONS 2023/24</w:t>
      </w:r>
    </w:p>
    <w:p w14:paraId="01EF112A" w14:textId="77777777" w:rsidR="008C5C0C" w:rsidRPr="00264768" w:rsidRDefault="00147B55" w:rsidP="00372CC5">
      <w:pPr>
        <w:jc w:val="both"/>
        <w:rPr>
          <w:rFonts w:cs="Arial"/>
        </w:rPr>
      </w:pPr>
      <w:r w:rsidRPr="00264768">
        <w:rPr>
          <w:rFonts w:cs="Arial"/>
        </w:rPr>
        <w:t xml:space="preserve">The Department for Education sub-divide the Dedicated Schools Grant allocations into 4 funding blocks: </w:t>
      </w:r>
    </w:p>
    <w:p w14:paraId="4B72242A" w14:textId="77777777" w:rsidR="008C5C0C" w:rsidRPr="00264768" w:rsidRDefault="008C5C0C" w:rsidP="00372CC5">
      <w:pPr>
        <w:jc w:val="both"/>
        <w:rPr>
          <w:rFonts w:cs="Arial"/>
        </w:rPr>
      </w:pPr>
    </w:p>
    <w:p w14:paraId="74E24A08" w14:textId="77777777" w:rsidR="008C5C0C" w:rsidRPr="00264768" w:rsidRDefault="00147B55" w:rsidP="008C5C0C">
      <w:pPr>
        <w:pStyle w:val="ListParagraph"/>
        <w:numPr>
          <w:ilvl w:val="0"/>
          <w:numId w:val="20"/>
        </w:numPr>
        <w:jc w:val="both"/>
        <w:rPr>
          <w:rFonts w:cs="Arial"/>
        </w:rPr>
      </w:pPr>
      <w:r w:rsidRPr="00264768">
        <w:rPr>
          <w:rFonts w:cs="Arial"/>
        </w:rPr>
        <w:t>Schools Block</w:t>
      </w:r>
    </w:p>
    <w:p w14:paraId="283EFF88" w14:textId="77777777" w:rsidR="008C5C0C" w:rsidRPr="00264768" w:rsidRDefault="00147B55" w:rsidP="008C5C0C">
      <w:pPr>
        <w:pStyle w:val="ListParagraph"/>
        <w:numPr>
          <w:ilvl w:val="0"/>
          <w:numId w:val="20"/>
        </w:numPr>
        <w:jc w:val="both"/>
        <w:rPr>
          <w:rFonts w:cs="Arial"/>
        </w:rPr>
      </w:pPr>
      <w:r w:rsidRPr="00264768">
        <w:rPr>
          <w:rFonts w:cs="Arial"/>
        </w:rPr>
        <w:t>High Needs Block</w:t>
      </w:r>
    </w:p>
    <w:p w14:paraId="13DDCA2B" w14:textId="77777777" w:rsidR="008C5C0C" w:rsidRPr="00264768" w:rsidRDefault="00147B55" w:rsidP="008C5C0C">
      <w:pPr>
        <w:pStyle w:val="ListParagraph"/>
        <w:numPr>
          <w:ilvl w:val="0"/>
          <w:numId w:val="20"/>
        </w:numPr>
        <w:jc w:val="both"/>
        <w:rPr>
          <w:rFonts w:cs="Arial"/>
        </w:rPr>
      </w:pPr>
      <w:r w:rsidRPr="00264768">
        <w:rPr>
          <w:rFonts w:cs="Arial"/>
        </w:rPr>
        <w:t xml:space="preserve">Early Years </w:t>
      </w:r>
      <w:r w:rsidR="00422940" w:rsidRPr="00264768">
        <w:rPr>
          <w:rFonts w:cs="Arial"/>
        </w:rPr>
        <w:t>Block</w:t>
      </w:r>
    </w:p>
    <w:p w14:paraId="3EA18B38" w14:textId="77777777" w:rsidR="008C5C0C" w:rsidRPr="00264768" w:rsidRDefault="00147B55" w:rsidP="008C5C0C">
      <w:pPr>
        <w:pStyle w:val="ListParagraph"/>
        <w:numPr>
          <w:ilvl w:val="0"/>
          <w:numId w:val="20"/>
        </w:numPr>
        <w:jc w:val="both"/>
        <w:rPr>
          <w:rFonts w:cs="Arial"/>
        </w:rPr>
      </w:pPr>
      <w:r w:rsidRPr="00264768">
        <w:rPr>
          <w:rFonts w:cs="Arial"/>
        </w:rPr>
        <w:t xml:space="preserve">Central Schools Services Block. </w:t>
      </w:r>
    </w:p>
    <w:p w14:paraId="5666B4A4" w14:textId="77777777" w:rsidR="008C5C0C" w:rsidRPr="00264768" w:rsidRDefault="008C5C0C" w:rsidP="008C5C0C">
      <w:pPr>
        <w:jc w:val="both"/>
        <w:rPr>
          <w:rFonts w:cs="Arial"/>
        </w:rPr>
      </w:pPr>
    </w:p>
    <w:p w14:paraId="3D2CD47D" w14:textId="77777777" w:rsidR="00573399" w:rsidRPr="00264768" w:rsidRDefault="00147B55" w:rsidP="000A13C3">
      <w:pPr>
        <w:jc w:val="both"/>
        <w:rPr>
          <w:rFonts w:cs="Arial"/>
        </w:rPr>
      </w:pPr>
      <w:r w:rsidRPr="00264768">
        <w:rPr>
          <w:rFonts w:cs="Arial"/>
        </w:rPr>
        <w:t>These Blocks are all calculated on a formulaic basis.</w:t>
      </w:r>
    </w:p>
    <w:p w14:paraId="7BE0A23D" w14:textId="77777777" w:rsidR="00E956A5" w:rsidRPr="00264768" w:rsidRDefault="00E956A5" w:rsidP="000A13C3">
      <w:pPr>
        <w:jc w:val="both"/>
        <w:rPr>
          <w:rFonts w:cs="Arial"/>
        </w:rPr>
      </w:pPr>
    </w:p>
    <w:p w14:paraId="73BCEE66" w14:textId="77777777" w:rsidR="00E956A5" w:rsidRPr="00264768" w:rsidRDefault="00147B55" w:rsidP="00E956A5">
      <w:pPr>
        <w:jc w:val="both"/>
        <w:rPr>
          <w:rFonts w:cs="Arial"/>
        </w:rPr>
      </w:pPr>
      <w:r w:rsidRPr="00264768">
        <w:rPr>
          <w:rFonts w:cs="Arial"/>
        </w:rPr>
        <w:t>The Lancashire Dedicated Schools Grant allocations for 2023/24 across the 4 funding blocks are shown below:</w:t>
      </w:r>
    </w:p>
    <w:p w14:paraId="3212C328" w14:textId="77777777" w:rsidR="00573399" w:rsidRPr="00264768" w:rsidRDefault="00573399" w:rsidP="000A13C3">
      <w:pPr>
        <w:jc w:val="both"/>
        <w:rPr>
          <w:rFonts w:cs="Arial"/>
        </w:rPr>
      </w:pPr>
    </w:p>
    <w:tbl>
      <w:tblPr>
        <w:tblStyle w:val="TableGrid"/>
        <w:tblW w:w="9351" w:type="dxa"/>
        <w:tblLayout w:type="fixed"/>
        <w:tblLook w:val="04A0" w:firstRow="1" w:lastRow="0" w:firstColumn="1" w:lastColumn="0" w:noHBand="0" w:noVBand="1"/>
      </w:tblPr>
      <w:tblGrid>
        <w:gridCol w:w="5045"/>
        <w:gridCol w:w="1471"/>
        <w:gridCol w:w="1417"/>
        <w:gridCol w:w="1418"/>
      </w:tblGrid>
      <w:tr w:rsidR="00CE2685" w14:paraId="2BC31C21" w14:textId="77777777" w:rsidTr="00E740C8">
        <w:trPr>
          <w:trHeight w:val="1332"/>
        </w:trPr>
        <w:tc>
          <w:tcPr>
            <w:tcW w:w="5045" w:type="dxa"/>
            <w:noWrap/>
            <w:hideMark/>
          </w:tcPr>
          <w:p w14:paraId="14D59200" w14:textId="77777777" w:rsidR="00D7394C" w:rsidRPr="00E740C8" w:rsidRDefault="00D7394C" w:rsidP="00805873">
            <w:pPr>
              <w:jc w:val="center"/>
              <w:rPr>
                <w:rFonts w:ascii="Arial" w:hAnsi="Arial" w:cs="Arial"/>
                <w:b/>
                <w:bCs/>
                <w:sz w:val="24"/>
                <w:u w:val="single"/>
              </w:rPr>
            </w:pPr>
          </w:p>
          <w:p w14:paraId="604ED3E1" w14:textId="77777777" w:rsidR="00D7394C" w:rsidRPr="00E740C8" w:rsidRDefault="00D7394C" w:rsidP="00805873">
            <w:pPr>
              <w:jc w:val="center"/>
              <w:rPr>
                <w:rFonts w:ascii="Arial" w:hAnsi="Arial" w:cs="Arial"/>
                <w:b/>
                <w:bCs/>
                <w:sz w:val="24"/>
                <w:u w:val="single"/>
              </w:rPr>
            </w:pPr>
          </w:p>
          <w:p w14:paraId="4B233C53" w14:textId="77777777" w:rsidR="00D7394C" w:rsidRPr="00E740C8" w:rsidRDefault="00147B55" w:rsidP="00805873">
            <w:pPr>
              <w:jc w:val="center"/>
              <w:rPr>
                <w:rFonts w:ascii="Arial" w:hAnsi="Arial" w:cs="Arial"/>
                <w:b/>
                <w:bCs/>
                <w:sz w:val="24"/>
                <w:u w:val="single"/>
              </w:rPr>
            </w:pPr>
            <w:r w:rsidRPr="00E740C8">
              <w:rPr>
                <w:rFonts w:ascii="Arial" w:hAnsi="Arial" w:cs="Arial"/>
                <w:b/>
                <w:bCs/>
                <w:sz w:val="24"/>
                <w:u w:val="single"/>
              </w:rPr>
              <w:t>Forecast Dedicated Schools Grant Income 23/24</w:t>
            </w:r>
          </w:p>
        </w:tc>
        <w:tc>
          <w:tcPr>
            <w:tcW w:w="1471" w:type="dxa"/>
            <w:hideMark/>
          </w:tcPr>
          <w:p w14:paraId="21CE10F9" w14:textId="77777777" w:rsidR="00D7394C" w:rsidRPr="00E740C8" w:rsidRDefault="00147B55" w:rsidP="00E740C8">
            <w:pPr>
              <w:rPr>
                <w:rFonts w:ascii="Arial" w:hAnsi="Arial" w:cs="Arial"/>
                <w:b/>
                <w:bCs/>
                <w:sz w:val="24"/>
              </w:rPr>
            </w:pPr>
            <w:r w:rsidRPr="00E740C8">
              <w:rPr>
                <w:rFonts w:ascii="Arial" w:hAnsi="Arial" w:cs="Arial"/>
                <w:b/>
                <w:bCs/>
                <w:sz w:val="24"/>
              </w:rPr>
              <w:t>Allocatio</w:t>
            </w:r>
            <w:r w:rsidR="00E740C8">
              <w:rPr>
                <w:rFonts w:ascii="Arial" w:hAnsi="Arial" w:cs="Arial"/>
                <w:b/>
                <w:bCs/>
                <w:sz w:val="24"/>
              </w:rPr>
              <w:t>n</w:t>
            </w:r>
            <w:r w:rsidRPr="00E740C8">
              <w:rPr>
                <w:rFonts w:ascii="Arial" w:hAnsi="Arial" w:cs="Arial"/>
                <w:b/>
                <w:bCs/>
                <w:sz w:val="24"/>
              </w:rPr>
              <w:t xml:space="preserve"> (£m)</w:t>
            </w:r>
          </w:p>
        </w:tc>
        <w:tc>
          <w:tcPr>
            <w:tcW w:w="1417" w:type="dxa"/>
            <w:hideMark/>
          </w:tcPr>
          <w:p w14:paraId="796DEB9B" w14:textId="77777777" w:rsidR="00D7394C" w:rsidRPr="00E740C8" w:rsidRDefault="00147B55" w:rsidP="00805873">
            <w:pPr>
              <w:jc w:val="both"/>
              <w:rPr>
                <w:rFonts w:ascii="Arial" w:hAnsi="Arial" w:cs="Arial"/>
                <w:b/>
                <w:bCs/>
                <w:sz w:val="24"/>
              </w:rPr>
            </w:pPr>
            <w:r w:rsidRPr="00E740C8">
              <w:rPr>
                <w:rFonts w:ascii="Arial" w:hAnsi="Arial" w:cs="Arial"/>
                <w:b/>
                <w:bCs/>
                <w:sz w:val="24"/>
              </w:rPr>
              <w:t>Additional Funding (£m)</w:t>
            </w:r>
          </w:p>
        </w:tc>
        <w:tc>
          <w:tcPr>
            <w:tcW w:w="1418" w:type="dxa"/>
            <w:hideMark/>
          </w:tcPr>
          <w:p w14:paraId="08F4A0A2" w14:textId="77777777" w:rsidR="00D7394C" w:rsidRPr="00E740C8" w:rsidRDefault="00147B55" w:rsidP="00805873">
            <w:pPr>
              <w:jc w:val="both"/>
              <w:rPr>
                <w:rFonts w:ascii="Arial" w:hAnsi="Arial" w:cs="Arial"/>
                <w:b/>
                <w:bCs/>
                <w:sz w:val="24"/>
              </w:rPr>
            </w:pPr>
            <w:r w:rsidRPr="00E740C8">
              <w:rPr>
                <w:rFonts w:ascii="Arial" w:hAnsi="Arial" w:cs="Arial"/>
                <w:b/>
                <w:bCs/>
                <w:sz w:val="24"/>
              </w:rPr>
              <w:t>Total DSG Allocation 2</w:t>
            </w:r>
            <w:r w:rsidR="00264768" w:rsidRPr="00E740C8">
              <w:rPr>
                <w:rFonts w:ascii="Arial" w:hAnsi="Arial" w:cs="Arial"/>
                <w:b/>
                <w:bCs/>
                <w:sz w:val="24"/>
              </w:rPr>
              <w:t>02</w:t>
            </w:r>
            <w:r w:rsidRPr="00E740C8">
              <w:rPr>
                <w:rFonts w:ascii="Arial" w:hAnsi="Arial" w:cs="Arial"/>
                <w:b/>
                <w:bCs/>
                <w:sz w:val="24"/>
              </w:rPr>
              <w:t>3/24 (£m)</w:t>
            </w:r>
          </w:p>
        </w:tc>
      </w:tr>
      <w:tr w:rsidR="00CE2685" w14:paraId="1945B46B" w14:textId="77777777" w:rsidTr="00E740C8">
        <w:trPr>
          <w:trHeight w:val="300"/>
        </w:trPr>
        <w:tc>
          <w:tcPr>
            <w:tcW w:w="5045" w:type="dxa"/>
            <w:noWrap/>
            <w:hideMark/>
          </w:tcPr>
          <w:p w14:paraId="771AD715" w14:textId="77777777" w:rsidR="00D7394C" w:rsidRPr="00E740C8" w:rsidRDefault="00147B55" w:rsidP="00805873">
            <w:pPr>
              <w:jc w:val="both"/>
              <w:rPr>
                <w:rFonts w:ascii="Arial" w:hAnsi="Arial" w:cs="Arial"/>
                <w:bCs/>
                <w:sz w:val="24"/>
              </w:rPr>
            </w:pPr>
            <w:r w:rsidRPr="00E740C8">
              <w:rPr>
                <w:rFonts w:ascii="Arial" w:hAnsi="Arial" w:cs="Arial"/>
                <w:bCs/>
                <w:sz w:val="24"/>
              </w:rPr>
              <w:t>Schools Block</w:t>
            </w:r>
          </w:p>
        </w:tc>
        <w:tc>
          <w:tcPr>
            <w:tcW w:w="1471" w:type="dxa"/>
            <w:noWrap/>
            <w:hideMark/>
          </w:tcPr>
          <w:p w14:paraId="5BBA2A34" w14:textId="77777777" w:rsidR="00D7394C" w:rsidRPr="00E740C8" w:rsidRDefault="00147B55" w:rsidP="00805873">
            <w:pPr>
              <w:jc w:val="both"/>
              <w:rPr>
                <w:rFonts w:ascii="Arial" w:hAnsi="Arial" w:cs="Arial"/>
                <w:bCs/>
                <w:sz w:val="24"/>
              </w:rPr>
            </w:pPr>
            <w:r w:rsidRPr="00E740C8">
              <w:rPr>
                <w:rFonts w:ascii="Arial" w:hAnsi="Arial" w:cs="Arial"/>
                <w:bCs/>
                <w:sz w:val="24"/>
              </w:rPr>
              <w:t>924.602</w:t>
            </w:r>
          </w:p>
        </w:tc>
        <w:tc>
          <w:tcPr>
            <w:tcW w:w="1417" w:type="dxa"/>
            <w:noWrap/>
            <w:hideMark/>
          </w:tcPr>
          <w:p w14:paraId="0FF1E42F" w14:textId="77777777" w:rsidR="00D7394C" w:rsidRPr="00E740C8" w:rsidRDefault="00147B55" w:rsidP="00805873">
            <w:pPr>
              <w:jc w:val="both"/>
              <w:rPr>
                <w:rFonts w:ascii="Arial" w:hAnsi="Arial" w:cs="Arial"/>
                <w:bCs/>
                <w:sz w:val="24"/>
              </w:rPr>
            </w:pPr>
            <w:r w:rsidRPr="00E740C8">
              <w:rPr>
                <w:rFonts w:ascii="Arial" w:hAnsi="Arial" w:cs="Arial"/>
                <w:bCs/>
                <w:sz w:val="24"/>
              </w:rPr>
              <w:t>31</w:t>
            </w:r>
            <w:r w:rsidR="00216C3D" w:rsidRPr="00E740C8">
              <w:rPr>
                <w:rFonts w:ascii="Arial" w:hAnsi="Arial" w:cs="Arial"/>
                <w:bCs/>
                <w:sz w:val="24"/>
              </w:rPr>
              <w:t>.0</w:t>
            </w:r>
          </w:p>
        </w:tc>
        <w:tc>
          <w:tcPr>
            <w:tcW w:w="1418" w:type="dxa"/>
            <w:noWrap/>
            <w:hideMark/>
          </w:tcPr>
          <w:p w14:paraId="4DCBAA01" w14:textId="77777777" w:rsidR="00D7394C" w:rsidRPr="00E740C8" w:rsidRDefault="00147B55" w:rsidP="00805873">
            <w:pPr>
              <w:jc w:val="both"/>
              <w:rPr>
                <w:rFonts w:ascii="Arial" w:hAnsi="Arial" w:cs="Arial"/>
                <w:bCs/>
                <w:sz w:val="24"/>
              </w:rPr>
            </w:pPr>
            <w:r w:rsidRPr="00E740C8">
              <w:rPr>
                <w:rFonts w:ascii="Arial" w:hAnsi="Arial" w:cs="Arial"/>
                <w:bCs/>
                <w:sz w:val="24"/>
              </w:rPr>
              <w:t>955.602</w:t>
            </w:r>
          </w:p>
        </w:tc>
      </w:tr>
      <w:tr w:rsidR="00CE2685" w14:paraId="2766D870" w14:textId="77777777" w:rsidTr="00E740C8">
        <w:trPr>
          <w:trHeight w:val="300"/>
        </w:trPr>
        <w:tc>
          <w:tcPr>
            <w:tcW w:w="5045" w:type="dxa"/>
            <w:noWrap/>
            <w:hideMark/>
          </w:tcPr>
          <w:p w14:paraId="22272E5C" w14:textId="77777777" w:rsidR="00D7394C" w:rsidRPr="00E740C8" w:rsidRDefault="00147B55" w:rsidP="00805873">
            <w:pPr>
              <w:jc w:val="both"/>
              <w:rPr>
                <w:rFonts w:ascii="Arial" w:hAnsi="Arial" w:cs="Arial"/>
                <w:bCs/>
                <w:sz w:val="24"/>
              </w:rPr>
            </w:pPr>
            <w:r w:rsidRPr="00E740C8">
              <w:rPr>
                <w:rFonts w:ascii="Arial" w:hAnsi="Arial" w:cs="Arial"/>
                <w:bCs/>
                <w:sz w:val="24"/>
              </w:rPr>
              <w:t>High Needs Block</w:t>
            </w:r>
          </w:p>
        </w:tc>
        <w:tc>
          <w:tcPr>
            <w:tcW w:w="1471" w:type="dxa"/>
            <w:noWrap/>
            <w:hideMark/>
          </w:tcPr>
          <w:p w14:paraId="542A4FD2" w14:textId="77777777" w:rsidR="00D7394C" w:rsidRPr="00E740C8" w:rsidRDefault="00147B55" w:rsidP="00805873">
            <w:pPr>
              <w:jc w:val="both"/>
              <w:rPr>
                <w:rFonts w:ascii="Arial" w:hAnsi="Arial" w:cs="Arial"/>
                <w:bCs/>
                <w:sz w:val="24"/>
              </w:rPr>
            </w:pPr>
            <w:r w:rsidRPr="00E740C8">
              <w:rPr>
                <w:rFonts w:ascii="Arial" w:hAnsi="Arial" w:cs="Arial"/>
                <w:bCs/>
                <w:sz w:val="24"/>
              </w:rPr>
              <w:t>193.394</w:t>
            </w:r>
          </w:p>
        </w:tc>
        <w:tc>
          <w:tcPr>
            <w:tcW w:w="1417" w:type="dxa"/>
            <w:noWrap/>
            <w:hideMark/>
          </w:tcPr>
          <w:p w14:paraId="7645014E" w14:textId="77777777" w:rsidR="00D7394C" w:rsidRPr="00E740C8" w:rsidRDefault="00D7394C" w:rsidP="00805873">
            <w:pPr>
              <w:jc w:val="both"/>
              <w:rPr>
                <w:rFonts w:ascii="Arial" w:hAnsi="Arial" w:cs="Arial"/>
                <w:bCs/>
                <w:sz w:val="24"/>
              </w:rPr>
            </w:pPr>
          </w:p>
        </w:tc>
        <w:tc>
          <w:tcPr>
            <w:tcW w:w="1418" w:type="dxa"/>
            <w:noWrap/>
            <w:hideMark/>
          </w:tcPr>
          <w:p w14:paraId="504FFB41" w14:textId="77777777" w:rsidR="00D7394C" w:rsidRPr="00E740C8" w:rsidRDefault="00147B55" w:rsidP="00805873">
            <w:pPr>
              <w:jc w:val="both"/>
              <w:rPr>
                <w:rFonts w:ascii="Arial" w:hAnsi="Arial" w:cs="Arial"/>
                <w:bCs/>
                <w:sz w:val="24"/>
              </w:rPr>
            </w:pPr>
            <w:r w:rsidRPr="00E740C8">
              <w:rPr>
                <w:rFonts w:ascii="Arial" w:hAnsi="Arial" w:cs="Arial"/>
                <w:bCs/>
                <w:sz w:val="24"/>
              </w:rPr>
              <w:t>193.394</w:t>
            </w:r>
          </w:p>
        </w:tc>
      </w:tr>
      <w:tr w:rsidR="00CE2685" w14:paraId="07F59805" w14:textId="77777777" w:rsidTr="00E740C8">
        <w:trPr>
          <w:trHeight w:val="300"/>
        </w:trPr>
        <w:tc>
          <w:tcPr>
            <w:tcW w:w="5045" w:type="dxa"/>
            <w:noWrap/>
            <w:hideMark/>
          </w:tcPr>
          <w:p w14:paraId="2F8A02C7" w14:textId="77777777" w:rsidR="00D7394C" w:rsidRPr="00E740C8" w:rsidRDefault="00147B55" w:rsidP="00805873">
            <w:pPr>
              <w:jc w:val="both"/>
              <w:rPr>
                <w:rFonts w:ascii="Arial" w:hAnsi="Arial" w:cs="Arial"/>
                <w:bCs/>
                <w:sz w:val="24"/>
              </w:rPr>
            </w:pPr>
            <w:r w:rsidRPr="00E740C8">
              <w:rPr>
                <w:rFonts w:ascii="Arial" w:hAnsi="Arial" w:cs="Arial"/>
                <w:bCs/>
                <w:sz w:val="24"/>
              </w:rPr>
              <w:t xml:space="preserve">Early Years Block </w:t>
            </w:r>
          </w:p>
        </w:tc>
        <w:tc>
          <w:tcPr>
            <w:tcW w:w="1471" w:type="dxa"/>
            <w:noWrap/>
            <w:hideMark/>
          </w:tcPr>
          <w:p w14:paraId="5C9947B6" w14:textId="77777777" w:rsidR="00D7394C" w:rsidRPr="00E740C8" w:rsidRDefault="00147B55" w:rsidP="00805873">
            <w:pPr>
              <w:jc w:val="both"/>
              <w:rPr>
                <w:rFonts w:ascii="Arial" w:hAnsi="Arial" w:cs="Arial"/>
                <w:bCs/>
                <w:sz w:val="24"/>
              </w:rPr>
            </w:pPr>
            <w:r w:rsidRPr="00E740C8">
              <w:rPr>
                <w:rFonts w:ascii="Arial" w:hAnsi="Arial" w:cs="Arial"/>
                <w:bCs/>
                <w:sz w:val="24"/>
              </w:rPr>
              <w:t>87.644</w:t>
            </w:r>
          </w:p>
        </w:tc>
        <w:tc>
          <w:tcPr>
            <w:tcW w:w="1417" w:type="dxa"/>
            <w:noWrap/>
            <w:hideMark/>
          </w:tcPr>
          <w:p w14:paraId="7F60EC87" w14:textId="77777777" w:rsidR="00D7394C" w:rsidRPr="00E740C8" w:rsidRDefault="00147B55" w:rsidP="00805873">
            <w:pPr>
              <w:jc w:val="both"/>
              <w:rPr>
                <w:rFonts w:ascii="Arial" w:hAnsi="Arial" w:cs="Arial"/>
                <w:bCs/>
                <w:sz w:val="24"/>
              </w:rPr>
            </w:pPr>
            <w:r w:rsidRPr="00E740C8">
              <w:rPr>
                <w:rFonts w:ascii="Arial" w:hAnsi="Arial" w:cs="Arial"/>
                <w:bCs/>
                <w:sz w:val="24"/>
              </w:rPr>
              <w:t> </w:t>
            </w:r>
          </w:p>
        </w:tc>
        <w:tc>
          <w:tcPr>
            <w:tcW w:w="1418" w:type="dxa"/>
            <w:noWrap/>
            <w:hideMark/>
          </w:tcPr>
          <w:p w14:paraId="445EE7F6" w14:textId="77777777" w:rsidR="00D7394C" w:rsidRPr="00E740C8" w:rsidRDefault="00147B55" w:rsidP="00805873">
            <w:pPr>
              <w:jc w:val="both"/>
              <w:rPr>
                <w:rFonts w:ascii="Arial" w:hAnsi="Arial" w:cs="Arial"/>
                <w:bCs/>
                <w:sz w:val="24"/>
              </w:rPr>
            </w:pPr>
            <w:r w:rsidRPr="00E740C8">
              <w:rPr>
                <w:rFonts w:ascii="Arial" w:hAnsi="Arial" w:cs="Arial"/>
                <w:bCs/>
                <w:sz w:val="24"/>
              </w:rPr>
              <w:t>87.644</w:t>
            </w:r>
          </w:p>
        </w:tc>
      </w:tr>
      <w:tr w:rsidR="00CE2685" w14:paraId="4BDAEAAF" w14:textId="77777777" w:rsidTr="00E740C8">
        <w:trPr>
          <w:trHeight w:val="300"/>
        </w:trPr>
        <w:tc>
          <w:tcPr>
            <w:tcW w:w="5045" w:type="dxa"/>
            <w:noWrap/>
            <w:hideMark/>
          </w:tcPr>
          <w:p w14:paraId="73D5AE83" w14:textId="77777777" w:rsidR="00D7394C" w:rsidRPr="00E740C8" w:rsidRDefault="00147B55" w:rsidP="00805873">
            <w:pPr>
              <w:jc w:val="both"/>
              <w:rPr>
                <w:rFonts w:ascii="Arial" w:hAnsi="Arial" w:cs="Arial"/>
                <w:bCs/>
                <w:sz w:val="24"/>
              </w:rPr>
            </w:pPr>
            <w:r w:rsidRPr="00E740C8">
              <w:rPr>
                <w:rFonts w:ascii="Arial" w:hAnsi="Arial" w:cs="Arial"/>
                <w:bCs/>
                <w:sz w:val="24"/>
              </w:rPr>
              <w:t xml:space="preserve">Central Schools Services Block </w:t>
            </w:r>
          </w:p>
        </w:tc>
        <w:tc>
          <w:tcPr>
            <w:tcW w:w="1471" w:type="dxa"/>
            <w:noWrap/>
            <w:hideMark/>
          </w:tcPr>
          <w:p w14:paraId="6794C85B" w14:textId="77777777" w:rsidR="00D7394C" w:rsidRPr="00E740C8" w:rsidRDefault="00147B55" w:rsidP="00805873">
            <w:pPr>
              <w:jc w:val="both"/>
              <w:rPr>
                <w:rFonts w:ascii="Arial" w:hAnsi="Arial" w:cs="Arial"/>
                <w:bCs/>
                <w:sz w:val="24"/>
              </w:rPr>
            </w:pPr>
            <w:r w:rsidRPr="00E740C8">
              <w:rPr>
                <w:rFonts w:ascii="Arial" w:hAnsi="Arial" w:cs="Arial"/>
                <w:bCs/>
                <w:sz w:val="24"/>
              </w:rPr>
              <w:t>6.81</w:t>
            </w:r>
          </w:p>
        </w:tc>
        <w:tc>
          <w:tcPr>
            <w:tcW w:w="1417" w:type="dxa"/>
            <w:noWrap/>
            <w:hideMark/>
          </w:tcPr>
          <w:p w14:paraId="51D73322" w14:textId="77777777" w:rsidR="00D7394C" w:rsidRPr="00E740C8" w:rsidRDefault="00147B55" w:rsidP="00805873">
            <w:pPr>
              <w:jc w:val="both"/>
              <w:rPr>
                <w:rFonts w:ascii="Arial" w:hAnsi="Arial" w:cs="Arial"/>
                <w:bCs/>
                <w:sz w:val="24"/>
              </w:rPr>
            </w:pPr>
            <w:r w:rsidRPr="00E740C8">
              <w:rPr>
                <w:rFonts w:ascii="Arial" w:hAnsi="Arial" w:cs="Arial"/>
                <w:bCs/>
                <w:sz w:val="24"/>
              </w:rPr>
              <w:t> </w:t>
            </w:r>
          </w:p>
        </w:tc>
        <w:tc>
          <w:tcPr>
            <w:tcW w:w="1418" w:type="dxa"/>
            <w:noWrap/>
            <w:hideMark/>
          </w:tcPr>
          <w:p w14:paraId="47D184A8" w14:textId="77777777" w:rsidR="00D7394C" w:rsidRPr="00E740C8" w:rsidRDefault="00147B55" w:rsidP="00805873">
            <w:pPr>
              <w:jc w:val="both"/>
              <w:rPr>
                <w:rFonts w:ascii="Arial" w:hAnsi="Arial" w:cs="Arial"/>
                <w:bCs/>
                <w:sz w:val="24"/>
              </w:rPr>
            </w:pPr>
            <w:r w:rsidRPr="00E740C8">
              <w:rPr>
                <w:rFonts w:ascii="Arial" w:hAnsi="Arial" w:cs="Arial"/>
                <w:bCs/>
                <w:sz w:val="24"/>
              </w:rPr>
              <w:t>6.81</w:t>
            </w:r>
          </w:p>
        </w:tc>
      </w:tr>
      <w:tr w:rsidR="00CE2685" w14:paraId="739B85A9" w14:textId="77777777" w:rsidTr="00E740C8">
        <w:trPr>
          <w:trHeight w:val="300"/>
        </w:trPr>
        <w:tc>
          <w:tcPr>
            <w:tcW w:w="5045" w:type="dxa"/>
            <w:noWrap/>
            <w:hideMark/>
          </w:tcPr>
          <w:p w14:paraId="286A2A9F" w14:textId="77777777" w:rsidR="00D7394C" w:rsidRPr="00E740C8" w:rsidRDefault="00147B55" w:rsidP="00805873">
            <w:pPr>
              <w:jc w:val="both"/>
              <w:rPr>
                <w:rFonts w:ascii="Arial" w:hAnsi="Arial" w:cs="Arial"/>
                <w:b/>
                <w:bCs/>
                <w:sz w:val="24"/>
              </w:rPr>
            </w:pPr>
            <w:r w:rsidRPr="00E740C8">
              <w:rPr>
                <w:rFonts w:ascii="Arial" w:hAnsi="Arial" w:cs="Arial"/>
                <w:b/>
                <w:bCs/>
                <w:sz w:val="24"/>
              </w:rPr>
              <w:t>Gross Total forecast Dedicated Schools Grant Income</w:t>
            </w:r>
          </w:p>
        </w:tc>
        <w:tc>
          <w:tcPr>
            <w:tcW w:w="1471" w:type="dxa"/>
            <w:noWrap/>
            <w:hideMark/>
          </w:tcPr>
          <w:p w14:paraId="0BF1D095" w14:textId="77777777" w:rsidR="00D7394C" w:rsidRPr="00E740C8" w:rsidRDefault="00147B55" w:rsidP="00805873">
            <w:pPr>
              <w:jc w:val="both"/>
              <w:rPr>
                <w:rFonts w:ascii="Arial" w:hAnsi="Arial" w:cs="Arial"/>
                <w:b/>
                <w:bCs/>
                <w:sz w:val="24"/>
              </w:rPr>
            </w:pPr>
            <w:r w:rsidRPr="00E740C8">
              <w:rPr>
                <w:rFonts w:ascii="Arial" w:hAnsi="Arial" w:cs="Arial"/>
                <w:b/>
                <w:bCs/>
                <w:sz w:val="24"/>
              </w:rPr>
              <w:t>1,212.45</w:t>
            </w:r>
          </w:p>
        </w:tc>
        <w:tc>
          <w:tcPr>
            <w:tcW w:w="1417" w:type="dxa"/>
            <w:noWrap/>
            <w:hideMark/>
          </w:tcPr>
          <w:p w14:paraId="56DBAE28" w14:textId="77777777" w:rsidR="00D7394C" w:rsidRPr="00E740C8" w:rsidRDefault="00147B55" w:rsidP="00805873">
            <w:pPr>
              <w:jc w:val="both"/>
              <w:rPr>
                <w:rFonts w:ascii="Arial" w:hAnsi="Arial" w:cs="Arial"/>
                <w:b/>
                <w:bCs/>
                <w:sz w:val="24"/>
              </w:rPr>
            </w:pPr>
            <w:r w:rsidRPr="00E740C8">
              <w:rPr>
                <w:rFonts w:ascii="Arial" w:hAnsi="Arial" w:cs="Arial"/>
                <w:b/>
                <w:bCs/>
                <w:sz w:val="24"/>
              </w:rPr>
              <w:t>31.0</w:t>
            </w:r>
          </w:p>
        </w:tc>
        <w:tc>
          <w:tcPr>
            <w:tcW w:w="1418" w:type="dxa"/>
            <w:noWrap/>
            <w:hideMark/>
          </w:tcPr>
          <w:p w14:paraId="44B5200E" w14:textId="77777777" w:rsidR="00D7394C" w:rsidRPr="00E740C8" w:rsidRDefault="00147B55" w:rsidP="00805873">
            <w:pPr>
              <w:jc w:val="both"/>
              <w:rPr>
                <w:rFonts w:ascii="Arial" w:hAnsi="Arial" w:cs="Arial"/>
                <w:b/>
                <w:bCs/>
                <w:sz w:val="24"/>
              </w:rPr>
            </w:pPr>
            <w:r w:rsidRPr="00E740C8">
              <w:rPr>
                <w:rFonts w:ascii="Arial" w:hAnsi="Arial" w:cs="Arial"/>
                <w:b/>
                <w:bCs/>
                <w:sz w:val="24"/>
              </w:rPr>
              <w:t>1,2</w:t>
            </w:r>
            <w:r w:rsidR="006A23F1" w:rsidRPr="00E740C8">
              <w:rPr>
                <w:rFonts w:ascii="Arial" w:hAnsi="Arial" w:cs="Arial"/>
                <w:b/>
                <w:bCs/>
                <w:sz w:val="24"/>
              </w:rPr>
              <w:t>43.5</w:t>
            </w:r>
          </w:p>
        </w:tc>
      </w:tr>
      <w:tr w:rsidR="00CE2685" w14:paraId="22F7142E" w14:textId="77777777" w:rsidTr="00E740C8">
        <w:trPr>
          <w:trHeight w:val="540"/>
        </w:trPr>
        <w:tc>
          <w:tcPr>
            <w:tcW w:w="5045" w:type="dxa"/>
            <w:noWrap/>
            <w:hideMark/>
          </w:tcPr>
          <w:p w14:paraId="306396A9" w14:textId="77777777" w:rsidR="00D7394C" w:rsidRPr="00E740C8" w:rsidRDefault="00147B55" w:rsidP="00805873">
            <w:pPr>
              <w:jc w:val="both"/>
              <w:rPr>
                <w:rFonts w:ascii="Arial" w:hAnsi="Arial" w:cs="Arial"/>
                <w:bCs/>
                <w:sz w:val="24"/>
              </w:rPr>
            </w:pPr>
            <w:r w:rsidRPr="00E740C8">
              <w:rPr>
                <w:rFonts w:ascii="Arial" w:hAnsi="Arial" w:cs="Arial"/>
                <w:bCs/>
                <w:sz w:val="24"/>
              </w:rPr>
              <w:t xml:space="preserve">The total deduction for national schools' non-domestic rates </w:t>
            </w:r>
          </w:p>
        </w:tc>
        <w:tc>
          <w:tcPr>
            <w:tcW w:w="1471" w:type="dxa"/>
            <w:noWrap/>
            <w:hideMark/>
          </w:tcPr>
          <w:p w14:paraId="7797AB61" w14:textId="77777777" w:rsidR="00D7394C" w:rsidRPr="00E740C8" w:rsidRDefault="00147B55" w:rsidP="00805873">
            <w:pPr>
              <w:jc w:val="both"/>
              <w:rPr>
                <w:rFonts w:ascii="Arial" w:hAnsi="Arial" w:cs="Arial"/>
                <w:bCs/>
                <w:sz w:val="24"/>
              </w:rPr>
            </w:pPr>
            <w:r w:rsidRPr="00E740C8">
              <w:rPr>
                <w:rFonts w:ascii="Arial" w:hAnsi="Arial" w:cs="Arial"/>
                <w:bCs/>
                <w:sz w:val="24"/>
              </w:rPr>
              <w:t>-0.888</w:t>
            </w:r>
          </w:p>
        </w:tc>
        <w:tc>
          <w:tcPr>
            <w:tcW w:w="1417" w:type="dxa"/>
            <w:noWrap/>
            <w:hideMark/>
          </w:tcPr>
          <w:p w14:paraId="1096AE37" w14:textId="77777777" w:rsidR="00D7394C" w:rsidRPr="00E740C8" w:rsidRDefault="00147B55" w:rsidP="00805873">
            <w:pPr>
              <w:jc w:val="both"/>
              <w:rPr>
                <w:rFonts w:ascii="Arial" w:hAnsi="Arial" w:cs="Arial"/>
                <w:bCs/>
                <w:sz w:val="24"/>
              </w:rPr>
            </w:pPr>
            <w:r w:rsidRPr="00E740C8">
              <w:rPr>
                <w:rFonts w:ascii="Arial" w:hAnsi="Arial" w:cs="Arial"/>
                <w:bCs/>
                <w:sz w:val="24"/>
              </w:rPr>
              <w:t> </w:t>
            </w:r>
          </w:p>
        </w:tc>
        <w:tc>
          <w:tcPr>
            <w:tcW w:w="1418" w:type="dxa"/>
            <w:noWrap/>
            <w:hideMark/>
          </w:tcPr>
          <w:p w14:paraId="7FA61EC3" w14:textId="77777777" w:rsidR="00D7394C" w:rsidRPr="00E740C8" w:rsidRDefault="00147B55" w:rsidP="00805873">
            <w:pPr>
              <w:jc w:val="both"/>
              <w:rPr>
                <w:rFonts w:ascii="Arial" w:hAnsi="Arial" w:cs="Arial"/>
                <w:bCs/>
                <w:sz w:val="24"/>
              </w:rPr>
            </w:pPr>
            <w:r w:rsidRPr="00E740C8">
              <w:rPr>
                <w:rFonts w:ascii="Arial" w:hAnsi="Arial" w:cs="Arial"/>
                <w:bCs/>
                <w:sz w:val="24"/>
              </w:rPr>
              <w:t>-0.888</w:t>
            </w:r>
          </w:p>
        </w:tc>
      </w:tr>
      <w:tr w:rsidR="00CE2685" w14:paraId="034C6347" w14:textId="77777777" w:rsidTr="00E740C8">
        <w:trPr>
          <w:trHeight w:val="540"/>
        </w:trPr>
        <w:tc>
          <w:tcPr>
            <w:tcW w:w="5045" w:type="dxa"/>
            <w:noWrap/>
            <w:hideMark/>
          </w:tcPr>
          <w:p w14:paraId="7BCDED91" w14:textId="77777777" w:rsidR="00D7394C" w:rsidRPr="00E740C8" w:rsidRDefault="00147B55" w:rsidP="00805873">
            <w:pPr>
              <w:jc w:val="both"/>
              <w:rPr>
                <w:rFonts w:ascii="Arial" w:hAnsi="Arial" w:cs="Arial"/>
                <w:bCs/>
                <w:sz w:val="24"/>
              </w:rPr>
            </w:pPr>
            <w:r w:rsidRPr="00E740C8">
              <w:rPr>
                <w:rFonts w:ascii="Arial" w:hAnsi="Arial" w:cs="Arial"/>
                <w:bCs/>
                <w:sz w:val="24"/>
              </w:rPr>
              <w:lastRenderedPageBreak/>
              <w:t xml:space="preserve">Total deductions for direct </w:t>
            </w:r>
            <w:r w:rsidR="00833E58" w:rsidRPr="00E740C8">
              <w:rPr>
                <w:rFonts w:ascii="Arial" w:hAnsi="Arial" w:cs="Arial"/>
                <w:bCs/>
                <w:sz w:val="24"/>
              </w:rPr>
              <w:t>high-needs</w:t>
            </w:r>
            <w:r w:rsidRPr="00E740C8">
              <w:rPr>
                <w:rFonts w:ascii="Arial" w:hAnsi="Arial" w:cs="Arial"/>
                <w:bCs/>
                <w:sz w:val="24"/>
              </w:rPr>
              <w:t xml:space="preserve"> payments made by the ESFA</w:t>
            </w:r>
          </w:p>
        </w:tc>
        <w:tc>
          <w:tcPr>
            <w:tcW w:w="1471" w:type="dxa"/>
            <w:noWrap/>
            <w:hideMark/>
          </w:tcPr>
          <w:p w14:paraId="261FD11C" w14:textId="77777777" w:rsidR="00D7394C" w:rsidRPr="00E740C8" w:rsidRDefault="00147B55" w:rsidP="00805873">
            <w:pPr>
              <w:jc w:val="both"/>
              <w:rPr>
                <w:rFonts w:ascii="Arial" w:hAnsi="Arial" w:cs="Arial"/>
                <w:bCs/>
                <w:sz w:val="24"/>
              </w:rPr>
            </w:pPr>
            <w:r w:rsidRPr="00E740C8">
              <w:rPr>
                <w:rFonts w:ascii="Arial" w:hAnsi="Arial" w:cs="Arial"/>
                <w:bCs/>
                <w:sz w:val="24"/>
              </w:rPr>
              <w:t>-9.314</w:t>
            </w:r>
          </w:p>
        </w:tc>
        <w:tc>
          <w:tcPr>
            <w:tcW w:w="1417" w:type="dxa"/>
            <w:noWrap/>
            <w:hideMark/>
          </w:tcPr>
          <w:p w14:paraId="2DA5D559" w14:textId="77777777" w:rsidR="00D7394C" w:rsidRPr="00E740C8" w:rsidRDefault="00147B55" w:rsidP="00805873">
            <w:pPr>
              <w:jc w:val="both"/>
              <w:rPr>
                <w:rFonts w:ascii="Arial" w:hAnsi="Arial" w:cs="Arial"/>
                <w:bCs/>
                <w:sz w:val="24"/>
              </w:rPr>
            </w:pPr>
            <w:r w:rsidRPr="00E740C8">
              <w:rPr>
                <w:rFonts w:ascii="Arial" w:hAnsi="Arial" w:cs="Arial"/>
                <w:bCs/>
                <w:sz w:val="24"/>
              </w:rPr>
              <w:t> </w:t>
            </w:r>
          </w:p>
        </w:tc>
        <w:tc>
          <w:tcPr>
            <w:tcW w:w="1418" w:type="dxa"/>
            <w:noWrap/>
            <w:hideMark/>
          </w:tcPr>
          <w:p w14:paraId="4DF67752" w14:textId="77777777" w:rsidR="00D7394C" w:rsidRPr="00E740C8" w:rsidRDefault="00147B55" w:rsidP="00805873">
            <w:pPr>
              <w:jc w:val="both"/>
              <w:rPr>
                <w:rFonts w:ascii="Arial" w:hAnsi="Arial" w:cs="Arial"/>
                <w:bCs/>
                <w:sz w:val="24"/>
              </w:rPr>
            </w:pPr>
            <w:r w:rsidRPr="00E740C8">
              <w:rPr>
                <w:rFonts w:ascii="Arial" w:hAnsi="Arial" w:cs="Arial"/>
                <w:bCs/>
                <w:sz w:val="24"/>
              </w:rPr>
              <w:t>-9.314</w:t>
            </w:r>
          </w:p>
        </w:tc>
      </w:tr>
      <w:tr w:rsidR="00CE2685" w14:paraId="7A30FCAF" w14:textId="77777777" w:rsidTr="00E740C8">
        <w:trPr>
          <w:trHeight w:val="300"/>
        </w:trPr>
        <w:tc>
          <w:tcPr>
            <w:tcW w:w="5045" w:type="dxa"/>
            <w:noWrap/>
            <w:hideMark/>
          </w:tcPr>
          <w:p w14:paraId="24895025" w14:textId="77777777" w:rsidR="00D7394C" w:rsidRPr="00E740C8" w:rsidRDefault="00147B55" w:rsidP="00805873">
            <w:pPr>
              <w:jc w:val="both"/>
              <w:rPr>
                <w:rFonts w:ascii="Arial" w:hAnsi="Arial" w:cs="Arial"/>
                <w:b/>
                <w:bCs/>
                <w:sz w:val="24"/>
              </w:rPr>
            </w:pPr>
            <w:r w:rsidRPr="00E740C8">
              <w:rPr>
                <w:rFonts w:ascii="Arial" w:hAnsi="Arial" w:cs="Arial"/>
                <w:b/>
                <w:bCs/>
                <w:sz w:val="24"/>
              </w:rPr>
              <w:t>Net Total forecast Dedicated Schools Grant Income</w:t>
            </w:r>
          </w:p>
        </w:tc>
        <w:tc>
          <w:tcPr>
            <w:tcW w:w="1471" w:type="dxa"/>
            <w:noWrap/>
            <w:hideMark/>
          </w:tcPr>
          <w:p w14:paraId="42D45B82" w14:textId="77777777" w:rsidR="00D7394C" w:rsidRPr="00E740C8" w:rsidRDefault="00147B55" w:rsidP="00805873">
            <w:pPr>
              <w:jc w:val="both"/>
              <w:rPr>
                <w:rFonts w:ascii="Arial" w:hAnsi="Arial" w:cs="Arial"/>
                <w:b/>
                <w:bCs/>
                <w:sz w:val="24"/>
              </w:rPr>
            </w:pPr>
            <w:r w:rsidRPr="00E740C8">
              <w:rPr>
                <w:rFonts w:ascii="Arial" w:hAnsi="Arial" w:cs="Arial"/>
                <w:b/>
                <w:bCs/>
                <w:sz w:val="24"/>
              </w:rPr>
              <w:t>1,202.25</w:t>
            </w:r>
          </w:p>
        </w:tc>
        <w:tc>
          <w:tcPr>
            <w:tcW w:w="1417" w:type="dxa"/>
            <w:noWrap/>
            <w:hideMark/>
          </w:tcPr>
          <w:p w14:paraId="67C76051" w14:textId="77777777" w:rsidR="00D7394C" w:rsidRPr="00E740C8" w:rsidRDefault="00147B55" w:rsidP="00805873">
            <w:pPr>
              <w:jc w:val="both"/>
              <w:rPr>
                <w:rFonts w:ascii="Arial" w:hAnsi="Arial" w:cs="Arial"/>
                <w:b/>
                <w:bCs/>
                <w:sz w:val="24"/>
              </w:rPr>
            </w:pPr>
            <w:r w:rsidRPr="00E740C8">
              <w:rPr>
                <w:rFonts w:ascii="Arial" w:hAnsi="Arial" w:cs="Arial"/>
                <w:b/>
                <w:bCs/>
                <w:sz w:val="24"/>
              </w:rPr>
              <w:t>31.0</w:t>
            </w:r>
          </w:p>
        </w:tc>
        <w:tc>
          <w:tcPr>
            <w:tcW w:w="1418" w:type="dxa"/>
            <w:noWrap/>
            <w:hideMark/>
          </w:tcPr>
          <w:p w14:paraId="66C6F850" w14:textId="77777777" w:rsidR="00D7394C" w:rsidRPr="00E740C8" w:rsidRDefault="00147B55" w:rsidP="00805873">
            <w:pPr>
              <w:jc w:val="both"/>
              <w:rPr>
                <w:rFonts w:ascii="Arial" w:hAnsi="Arial" w:cs="Arial"/>
                <w:b/>
                <w:bCs/>
                <w:sz w:val="24"/>
              </w:rPr>
            </w:pPr>
            <w:r w:rsidRPr="00E740C8">
              <w:rPr>
                <w:rFonts w:ascii="Arial" w:hAnsi="Arial" w:cs="Arial"/>
                <w:b/>
                <w:bCs/>
                <w:sz w:val="24"/>
              </w:rPr>
              <w:t>1,</w:t>
            </w:r>
            <w:r w:rsidR="001E701F" w:rsidRPr="00E740C8">
              <w:rPr>
                <w:rFonts w:ascii="Arial" w:hAnsi="Arial" w:cs="Arial"/>
                <w:b/>
                <w:bCs/>
                <w:sz w:val="24"/>
              </w:rPr>
              <w:t>233.25</w:t>
            </w:r>
          </w:p>
        </w:tc>
      </w:tr>
    </w:tbl>
    <w:p w14:paraId="445ACDCB" w14:textId="77777777" w:rsidR="00573399" w:rsidRPr="00264768" w:rsidRDefault="00573399" w:rsidP="000A13C3">
      <w:pPr>
        <w:jc w:val="both"/>
        <w:rPr>
          <w:rFonts w:cs="Arial"/>
        </w:rPr>
      </w:pPr>
    </w:p>
    <w:p w14:paraId="6A95C746" w14:textId="77777777" w:rsidR="005D5521" w:rsidRPr="00264768" w:rsidRDefault="00147B55" w:rsidP="000A13C3">
      <w:pPr>
        <w:jc w:val="both"/>
        <w:rPr>
          <w:rFonts w:cs="Arial"/>
        </w:rPr>
      </w:pPr>
      <w:r w:rsidRPr="00264768">
        <w:rPr>
          <w:rFonts w:cs="Arial"/>
        </w:rPr>
        <w:t>Information on the allocations for each of the funding blocks is provided below</w:t>
      </w:r>
      <w:r w:rsidR="000524BD">
        <w:rPr>
          <w:rFonts w:cs="Arial"/>
        </w:rPr>
        <w:t>;</w:t>
      </w:r>
    </w:p>
    <w:p w14:paraId="0F0AC32A" w14:textId="77777777" w:rsidR="00DD45D5" w:rsidRPr="00264768" w:rsidRDefault="00DD45D5" w:rsidP="000A13C3">
      <w:pPr>
        <w:jc w:val="both"/>
        <w:rPr>
          <w:rFonts w:cs="Arial"/>
          <w:b/>
        </w:rPr>
      </w:pPr>
    </w:p>
    <w:p w14:paraId="2AEDE9F7" w14:textId="77777777" w:rsidR="00B017B8" w:rsidRPr="00264768" w:rsidRDefault="00147B55" w:rsidP="000A13C3">
      <w:pPr>
        <w:jc w:val="both"/>
        <w:rPr>
          <w:rFonts w:cs="Arial"/>
          <w:b/>
          <w:u w:val="single"/>
        </w:rPr>
      </w:pPr>
      <w:r w:rsidRPr="00264768">
        <w:rPr>
          <w:rFonts w:cs="Arial"/>
          <w:b/>
          <w:u w:val="single"/>
        </w:rPr>
        <w:t xml:space="preserve">Schools Block </w:t>
      </w:r>
      <w:r w:rsidR="00CD680A" w:rsidRPr="00264768">
        <w:rPr>
          <w:rFonts w:cs="Arial"/>
          <w:b/>
          <w:u w:val="single"/>
        </w:rPr>
        <w:t>A</w:t>
      </w:r>
      <w:r w:rsidRPr="00264768">
        <w:rPr>
          <w:rFonts w:cs="Arial"/>
          <w:b/>
          <w:u w:val="single"/>
        </w:rPr>
        <w:t xml:space="preserve">llocation </w:t>
      </w:r>
      <w:r w:rsidR="00372CC5" w:rsidRPr="00264768">
        <w:rPr>
          <w:rFonts w:cs="Arial"/>
          <w:b/>
          <w:u w:val="single"/>
        </w:rPr>
        <w:t>2023/24</w:t>
      </w:r>
      <w:r w:rsidR="00CD680A" w:rsidRPr="00264768">
        <w:rPr>
          <w:rFonts w:cs="Arial"/>
          <w:b/>
          <w:u w:val="single"/>
        </w:rPr>
        <w:t xml:space="preserve"> </w:t>
      </w:r>
      <w:r w:rsidR="00E55FF8">
        <w:rPr>
          <w:rFonts w:cs="Arial"/>
          <w:b/>
          <w:u w:val="single"/>
        </w:rPr>
        <w:t>– (</w:t>
      </w:r>
      <w:r w:rsidR="00CD680A" w:rsidRPr="00264768">
        <w:rPr>
          <w:rFonts w:cs="Arial"/>
          <w:b/>
          <w:u w:val="single"/>
        </w:rPr>
        <w:t>£956m</w:t>
      </w:r>
      <w:r w:rsidR="00E55FF8">
        <w:rPr>
          <w:rFonts w:cs="Arial"/>
          <w:b/>
          <w:u w:val="single"/>
        </w:rPr>
        <w:t>)</w:t>
      </w:r>
    </w:p>
    <w:p w14:paraId="04357C0E" w14:textId="77777777" w:rsidR="00DD45D5" w:rsidRPr="00E740C8" w:rsidRDefault="00147B55" w:rsidP="000A13C3">
      <w:pPr>
        <w:jc w:val="both"/>
        <w:rPr>
          <w:rFonts w:cs="Arial"/>
          <w:lang w:val="en"/>
        </w:rPr>
      </w:pPr>
      <w:r w:rsidRPr="00264768">
        <w:rPr>
          <w:rFonts w:cs="Arial"/>
          <w:lang w:val="en"/>
        </w:rPr>
        <w:t xml:space="preserve">The Schools Block allocations for 2023/24 are derived </w:t>
      </w:r>
      <w:r w:rsidR="00DA3CE3" w:rsidRPr="00264768">
        <w:rPr>
          <w:rFonts w:cs="Arial"/>
          <w:lang w:val="en"/>
        </w:rPr>
        <w:t>based on</w:t>
      </w:r>
      <w:r w:rsidRPr="00264768">
        <w:rPr>
          <w:rFonts w:cs="Arial"/>
          <w:lang w:val="en"/>
        </w:rPr>
        <w:t xml:space="preserve"> illustrative individual Schools National Funding Formula allocations calculated by the Government. These calculations translate into primary and secondary units of funding for 2023/24. These units of funding are multiplied by the number of primary and secondary pupils from the October 2022 census. A breakdown of the units of funding and pupil numbers </w:t>
      </w:r>
      <w:r w:rsidR="00017D3A" w:rsidRPr="00264768">
        <w:rPr>
          <w:rFonts w:cs="Arial"/>
          <w:lang w:val="en"/>
        </w:rPr>
        <w:t xml:space="preserve">for </w:t>
      </w:r>
      <w:r w:rsidR="00264768">
        <w:rPr>
          <w:rFonts w:cs="Arial"/>
          <w:lang w:val="en"/>
        </w:rPr>
        <w:t>20</w:t>
      </w:r>
      <w:r w:rsidR="00017D3A" w:rsidRPr="00264768">
        <w:rPr>
          <w:rFonts w:cs="Arial"/>
          <w:lang w:val="en"/>
        </w:rPr>
        <w:t xml:space="preserve">23/24 </w:t>
      </w:r>
      <w:r w:rsidRPr="00264768">
        <w:rPr>
          <w:rFonts w:cs="Arial"/>
          <w:lang w:val="en"/>
        </w:rPr>
        <w:t>are listed in the table below</w:t>
      </w:r>
      <w:r w:rsidR="00F1779A">
        <w:rPr>
          <w:rFonts w:cs="Arial"/>
          <w:lang w:val="en"/>
        </w:rPr>
        <w:t>;</w:t>
      </w:r>
    </w:p>
    <w:p w14:paraId="12E4D7F7" w14:textId="77777777" w:rsidR="008B625D" w:rsidRPr="00E740C8" w:rsidRDefault="008B625D" w:rsidP="000A13C3">
      <w:pPr>
        <w:jc w:val="both"/>
        <w:rPr>
          <w:rFonts w:cs="Arial"/>
          <w:lang w:val="en"/>
        </w:rPr>
      </w:pPr>
    </w:p>
    <w:tbl>
      <w:tblPr>
        <w:tblStyle w:val="TableGrid"/>
        <w:tblW w:w="0" w:type="auto"/>
        <w:tblLook w:val="04A0" w:firstRow="1" w:lastRow="0" w:firstColumn="1" w:lastColumn="0" w:noHBand="0" w:noVBand="1"/>
      </w:tblPr>
      <w:tblGrid>
        <w:gridCol w:w="6060"/>
        <w:gridCol w:w="1640"/>
      </w:tblGrid>
      <w:tr w:rsidR="00CE2685" w14:paraId="222374DE" w14:textId="77777777" w:rsidTr="007F7DCA">
        <w:trPr>
          <w:trHeight w:val="288"/>
        </w:trPr>
        <w:tc>
          <w:tcPr>
            <w:tcW w:w="6060" w:type="dxa"/>
            <w:noWrap/>
            <w:hideMark/>
          </w:tcPr>
          <w:p w14:paraId="703DDF04" w14:textId="77777777" w:rsidR="007F7DCA" w:rsidRPr="00E740C8" w:rsidRDefault="00147B55" w:rsidP="007F7DCA">
            <w:pPr>
              <w:jc w:val="both"/>
              <w:rPr>
                <w:rFonts w:ascii="Arial" w:hAnsi="Arial" w:cs="Arial"/>
                <w:sz w:val="24"/>
              </w:rPr>
            </w:pPr>
            <w:r w:rsidRPr="00E740C8">
              <w:rPr>
                <w:rFonts w:ascii="Arial" w:hAnsi="Arial" w:cs="Arial"/>
                <w:sz w:val="24"/>
              </w:rPr>
              <w:t>Primary school</w:t>
            </w:r>
            <w:r w:rsidR="003D2FA4" w:rsidRPr="00E740C8">
              <w:rPr>
                <w:rFonts w:ascii="Arial" w:hAnsi="Arial" w:cs="Arial"/>
                <w:sz w:val="24"/>
              </w:rPr>
              <w:t>'</w:t>
            </w:r>
            <w:r w:rsidRPr="00E740C8">
              <w:rPr>
                <w:rFonts w:ascii="Arial" w:hAnsi="Arial" w:cs="Arial"/>
                <w:sz w:val="24"/>
              </w:rPr>
              <w:t>s unit of funding (£)</w:t>
            </w:r>
          </w:p>
        </w:tc>
        <w:tc>
          <w:tcPr>
            <w:tcW w:w="1640" w:type="dxa"/>
            <w:noWrap/>
            <w:hideMark/>
          </w:tcPr>
          <w:p w14:paraId="10A196D0" w14:textId="77777777" w:rsidR="007F7DCA" w:rsidRPr="00E740C8" w:rsidRDefault="00147B55" w:rsidP="007F7DCA">
            <w:pPr>
              <w:jc w:val="both"/>
              <w:rPr>
                <w:rFonts w:ascii="Arial" w:hAnsi="Arial" w:cs="Arial"/>
                <w:sz w:val="24"/>
              </w:rPr>
            </w:pPr>
            <w:r w:rsidRPr="00E740C8">
              <w:rPr>
                <w:rFonts w:ascii="Arial" w:hAnsi="Arial" w:cs="Arial"/>
                <w:sz w:val="24"/>
              </w:rPr>
              <w:t>4,931</w:t>
            </w:r>
          </w:p>
        </w:tc>
      </w:tr>
      <w:tr w:rsidR="00CE2685" w14:paraId="61977D46" w14:textId="77777777" w:rsidTr="007F7DCA">
        <w:trPr>
          <w:trHeight w:val="288"/>
        </w:trPr>
        <w:tc>
          <w:tcPr>
            <w:tcW w:w="6060" w:type="dxa"/>
            <w:noWrap/>
            <w:hideMark/>
          </w:tcPr>
          <w:p w14:paraId="4547312E" w14:textId="77777777" w:rsidR="007F7DCA" w:rsidRPr="00E740C8" w:rsidRDefault="00147B55" w:rsidP="007F7DCA">
            <w:pPr>
              <w:jc w:val="both"/>
              <w:rPr>
                <w:rFonts w:ascii="Arial" w:hAnsi="Arial" w:cs="Arial"/>
                <w:sz w:val="24"/>
              </w:rPr>
            </w:pPr>
            <w:r w:rsidRPr="00E740C8">
              <w:rPr>
                <w:rFonts w:ascii="Arial" w:hAnsi="Arial" w:cs="Arial"/>
                <w:sz w:val="24"/>
              </w:rPr>
              <w:t>Number of pupils in primary schools</w:t>
            </w:r>
          </w:p>
        </w:tc>
        <w:tc>
          <w:tcPr>
            <w:tcW w:w="1640" w:type="dxa"/>
            <w:noWrap/>
            <w:hideMark/>
          </w:tcPr>
          <w:p w14:paraId="573684F5" w14:textId="77777777" w:rsidR="007F7DCA" w:rsidRPr="00E740C8" w:rsidRDefault="00147B55" w:rsidP="007F7DCA">
            <w:pPr>
              <w:jc w:val="both"/>
              <w:rPr>
                <w:rFonts w:ascii="Arial" w:hAnsi="Arial" w:cs="Arial"/>
                <w:sz w:val="24"/>
              </w:rPr>
            </w:pPr>
            <w:r w:rsidRPr="00E740C8">
              <w:rPr>
                <w:rFonts w:ascii="Arial" w:hAnsi="Arial" w:cs="Arial"/>
                <w:sz w:val="24"/>
              </w:rPr>
              <w:t>97,061</w:t>
            </w:r>
          </w:p>
        </w:tc>
      </w:tr>
      <w:tr w:rsidR="00CE2685" w14:paraId="6ED7EF56" w14:textId="77777777" w:rsidTr="007F7DCA">
        <w:trPr>
          <w:trHeight w:val="288"/>
        </w:trPr>
        <w:tc>
          <w:tcPr>
            <w:tcW w:w="6060" w:type="dxa"/>
            <w:noWrap/>
            <w:hideMark/>
          </w:tcPr>
          <w:p w14:paraId="0BADD135" w14:textId="77777777" w:rsidR="007F7DCA" w:rsidRPr="00E740C8" w:rsidRDefault="00147B55" w:rsidP="007F7DCA">
            <w:pPr>
              <w:jc w:val="both"/>
              <w:rPr>
                <w:rFonts w:ascii="Arial" w:hAnsi="Arial" w:cs="Arial"/>
                <w:b/>
                <w:bCs/>
                <w:sz w:val="24"/>
              </w:rPr>
            </w:pPr>
            <w:r w:rsidRPr="00E740C8">
              <w:rPr>
                <w:rFonts w:ascii="Arial" w:hAnsi="Arial" w:cs="Arial"/>
                <w:b/>
                <w:bCs/>
                <w:sz w:val="24"/>
              </w:rPr>
              <w:t>Total Primary Funding</w:t>
            </w:r>
            <w:r w:rsidR="00017D3A" w:rsidRPr="00E740C8">
              <w:rPr>
                <w:rFonts w:ascii="Arial" w:hAnsi="Arial" w:cs="Arial"/>
                <w:b/>
                <w:bCs/>
                <w:sz w:val="24"/>
              </w:rPr>
              <w:t xml:space="preserve"> 2</w:t>
            </w:r>
            <w:r w:rsidR="00264768" w:rsidRPr="00E740C8">
              <w:rPr>
                <w:rFonts w:ascii="Arial" w:hAnsi="Arial" w:cs="Arial"/>
                <w:b/>
                <w:bCs/>
                <w:sz w:val="24"/>
              </w:rPr>
              <w:t>02</w:t>
            </w:r>
            <w:r w:rsidR="00017D3A" w:rsidRPr="00E740C8">
              <w:rPr>
                <w:rFonts w:ascii="Arial" w:hAnsi="Arial" w:cs="Arial"/>
                <w:b/>
                <w:bCs/>
                <w:sz w:val="24"/>
              </w:rPr>
              <w:t>3/24</w:t>
            </w:r>
          </w:p>
        </w:tc>
        <w:tc>
          <w:tcPr>
            <w:tcW w:w="1640" w:type="dxa"/>
            <w:noWrap/>
            <w:hideMark/>
          </w:tcPr>
          <w:p w14:paraId="263F8B83" w14:textId="77777777" w:rsidR="007F7DCA" w:rsidRPr="00E740C8" w:rsidRDefault="00147B55" w:rsidP="007F7DCA">
            <w:pPr>
              <w:jc w:val="both"/>
              <w:rPr>
                <w:rFonts w:ascii="Arial" w:hAnsi="Arial" w:cs="Arial"/>
                <w:b/>
                <w:bCs/>
                <w:sz w:val="24"/>
              </w:rPr>
            </w:pPr>
            <w:r w:rsidRPr="00E740C8">
              <w:rPr>
                <w:rFonts w:ascii="Arial" w:hAnsi="Arial" w:cs="Arial"/>
                <w:b/>
                <w:bCs/>
                <w:sz w:val="24"/>
              </w:rPr>
              <w:t>478,579,643</w:t>
            </w:r>
          </w:p>
        </w:tc>
      </w:tr>
      <w:tr w:rsidR="00CE2685" w14:paraId="649C718E" w14:textId="77777777" w:rsidTr="007F7DCA">
        <w:trPr>
          <w:trHeight w:val="288"/>
        </w:trPr>
        <w:tc>
          <w:tcPr>
            <w:tcW w:w="6060" w:type="dxa"/>
            <w:noWrap/>
            <w:hideMark/>
          </w:tcPr>
          <w:p w14:paraId="6D05B2C5" w14:textId="77777777" w:rsidR="007F7DCA" w:rsidRPr="00E740C8" w:rsidRDefault="007F7DCA" w:rsidP="007F7DCA">
            <w:pPr>
              <w:jc w:val="both"/>
              <w:rPr>
                <w:rFonts w:ascii="Arial" w:hAnsi="Arial" w:cs="Arial"/>
                <w:b/>
                <w:bCs/>
                <w:sz w:val="24"/>
              </w:rPr>
            </w:pPr>
          </w:p>
        </w:tc>
        <w:tc>
          <w:tcPr>
            <w:tcW w:w="1640" w:type="dxa"/>
            <w:noWrap/>
            <w:hideMark/>
          </w:tcPr>
          <w:p w14:paraId="0EA82B93" w14:textId="77777777" w:rsidR="007F7DCA" w:rsidRPr="00E740C8" w:rsidRDefault="007F7DCA" w:rsidP="007F7DCA">
            <w:pPr>
              <w:jc w:val="both"/>
              <w:rPr>
                <w:rFonts w:ascii="Arial" w:hAnsi="Arial" w:cs="Arial"/>
                <w:sz w:val="24"/>
              </w:rPr>
            </w:pPr>
          </w:p>
        </w:tc>
      </w:tr>
      <w:tr w:rsidR="00CE2685" w14:paraId="2618C512" w14:textId="77777777" w:rsidTr="007F7DCA">
        <w:trPr>
          <w:trHeight w:val="288"/>
        </w:trPr>
        <w:tc>
          <w:tcPr>
            <w:tcW w:w="6060" w:type="dxa"/>
            <w:noWrap/>
            <w:hideMark/>
          </w:tcPr>
          <w:p w14:paraId="60BD358B" w14:textId="77777777" w:rsidR="007F7DCA" w:rsidRPr="00E740C8" w:rsidRDefault="007F7DCA" w:rsidP="007F7DCA">
            <w:pPr>
              <w:jc w:val="both"/>
              <w:rPr>
                <w:rFonts w:ascii="Arial" w:hAnsi="Arial" w:cs="Arial"/>
                <w:sz w:val="24"/>
              </w:rPr>
            </w:pPr>
          </w:p>
        </w:tc>
        <w:tc>
          <w:tcPr>
            <w:tcW w:w="1640" w:type="dxa"/>
            <w:noWrap/>
            <w:hideMark/>
          </w:tcPr>
          <w:p w14:paraId="55BBF0FC" w14:textId="77777777" w:rsidR="007F7DCA" w:rsidRPr="00E740C8" w:rsidRDefault="007F7DCA" w:rsidP="007F7DCA">
            <w:pPr>
              <w:jc w:val="both"/>
              <w:rPr>
                <w:rFonts w:ascii="Arial" w:hAnsi="Arial" w:cs="Arial"/>
                <w:sz w:val="24"/>
              </w:rPr>
            </w:pPr>
          </w:p>
        </w:tc>
      </w:tr>
      <w:tr w:rsidR="00CE2685" w14:paraId="73A0D006" w14:textId="77777777" w:rsidTr="007F7DCA">
        <w:trPr>
          <w:trHeight w:val="288"/>
        </w:trPr>
        <w:tc>
          <w:tcPr>
            <w:tcW w:w="6060" w:type="dxa"/>
            <w:noWrap/>
            <w:hideMark/>
          </w:tcPr>
          <w:p w14:paraId="1F4D0EFF" w14:textId="77777777" w:rsidR="007F7DCA" w:rsidRPr="00E740C8" w:rsidRDefault="00147B55" w:rsidP="007F7DCA">
            <w:pPr>
              <w:jc w:val="both"/>
              <w:rPr>
                <w:rFonts w:ascii="Arial" w:hAnsi="Arial" w:cs="Arial"/>
                <w:sz w:val="24"/>
              </w:rPr>
            </w:pPr>
            <w:r w:rsidRPr="00E740C8">
              <w:rPr>
                <w:rFonts w:ascii="Arial" w:hAnsi="Arial" w:cs="Arial"/>
                <w:sz w:val="24"/>
              </w:rPr>
              <w:t>Secondary school</w:t>
            </w:r>
            <w:r w:rsidR="003D2FA4" w:rsidRPr="00E740C8">
              <w:rPr>
                <w:rFonts w:ascii="Arial" w:hAnsi="Arial" w:cs="Arial"/>
                <w:sz w:val="24"/>
              </w:rPr>
              <w:t>'</w:t>
            </w:r>
            <w:r w:rsidRPr="00E740C8">
              <w:rPr>
                <w:rFonts w:ascii="Arial" w:hAnsi="Arial" w:cs="Arial"/>
                <w:sz w:val="24"/>
              </w:rPr>
              <w:t>s unit of funding (£)</w:t>
            </w:r>
          </w:p>
        </w:tc>
        <w:tc>
          <w:tcPr>
            <w:tcW w:w="1640" w:type="dxa"/>
            <w:noWrap/>
            <w:hideMark/>
          </w:tcPr>
          <w:p w14:paraId="6A44FCBD" w14:textId="77777777" w:rsidR="007F7DCA" w:rsidRPr="00E740C8" w:rsidRDefault="00147B55" w:rsidP="007F7DCA">
            <w:pPr>
              <w:jc w:val="both"/>
              <w:rPr>
                <w:rFonts w:ascii="Arial" w:hAnsi="Arial" w:cs="Arial"/>
                <w:sz w:val="24"/>
              </w:rPr>
            </w:pPr>
            <w:r w:rsidRPr="00E740C8">
              <w:rPr>
                <w:rFonts w:ascii="Arial" w:hAnsi="Arial" w:cs="Arial"/>
                <w:sz w:val="24"/>
              </w:rPr>
              <w:t>6,214</w:t>
            </w:r>
          </w:p>
        </w:tc>
      </w:tr>
      <w:tr w:rsidR="00CE2685" w14:paraId="458F35D8" w14:textId="77777777" w:rsidTr="007F7DCA">
        <w:trPr>
          <w:trHeight w:val="288"/>
        </w:trPr>
        <w:tc>
          <w:tcPr>
            <w:tcW w:w="6060" w:type="dxa"/>
            <w:noWrap/>
            <w:hideMark/>
          </w:tcPr>
          <w:p w14:paraId="7B596F8F" w14:textId="77777777" w:rsidR="007F7DCA" w:rsidRPr="00E740C8" w:rsidRDefault="00147B55" w:rsidP="007F7DCA">
            <w:pPr>
              <w:jc w:val="both"/>
              <w:rPr>
                <w:rFonts w:ascii="Arial" w:hAnsi="Arial" w:cs="Arial"/>
                <w:sz w:val="24"/>
              </w:rPr>
            </w:pPr>
            <w:r w:rsidRPr="00E740C8">
              <w:rPr>
                <w:rFonts w:ascii="Arial" w:hAnsi="Arial" w:cs="Arial"/>
                <w:sz w:val="24"/>
              </w:rPr>
              <w:t>Number of pupils in secondary schools</w:t>
            </w:r>
          </w:p>
        </w:tc>
        <w:tc>
          <w:tcPr>
            <w:tcW w:w="1640" w:type="dxa"/>
            <w:noWrap/>
            <w:hideMark/>
          </w:tcPr>
          <w:p w14:paraId="3119CB0B" w14:textId="77777777" w:rsidR="007F7DCA" w:rsidRPr="00E740C8" w:rsidRDefault="00147B55" w:rsidP="007F7DCA">
            <w:pPr>
              <w:jc w:val="both"/>
              <w:rPr>
                <w:rFonts w:ascii="Arial" w:hAnsi="Arial" w:cs="Arial"/>
                <w:sz w:val="24"/>
              </w:rPr>
            </w:pPr>
            <w:r w:rsidRPr="00E740C8">
              <w:rPr>
                <w:rFonts w:ascii="Arial" w:hAnsi="Arial" w:cs="Arial"/>
                <w:sz w:val="24"/>
              </w:rPr>
              <w:t>68,954</w:t>
            </w:r>
          </w:p>
        </w:tc>
      </w:tr>
      <w:tr w:rsidR="00CE2685" w14:paraId="61AD0D72" w14:textId="77777777" w:rsidTr="007F7DCA">
        <w:trPr>
          <w:trHeight w:val="288"/>
        </w:trPr>
        <w:tc>
          <w:tcPr>
            <w:tcW w:w="6060" w:type="dxa"/>
            <w:noWrap/>
            <w:hideMark/>
          </w:tcPr>
          <w:p w14:paraId="221178EF" w14:textId="77777777" w:rsidR="007F7DCA" w:rsidRPr="00E740C8" w:rsidRDefault="00147B55" w:rsidP="007F7DCA">
            <w:pPr>
              <w:jc w:val="both"/>
              <w:rPr>
                <w:rFonts w:ascii="Arial" w:hAnsi="Arial" w:cs="Arial"/>
                <w:b/>
                <w:bCs/>
                <w:sz w:val="24"/>
              </w:rPr>
            </w:pPr>
            <w:r w:rsidRPr="00E740C8">
              <w:rPr>
                <w:rFonts w:ascii="Arial" w:hAnsi="Arial" w:cs="Arial"/>
                <w:b/>
                <w:bCs/>
                <w:sz w:val="24"/>
              </w:rPr>
              <w:t>Total Secondary Funding</w:t>
            </w:r>
            <w:r w:rsidR="00017D3A" w:rsidRPr="00E740C8">
              <w:rPr>
                <w:rFonts w:ascii="Arial" w:hAnsi="Arial" w:cs="Arial"/>
                <w:b/>
                <w:bCs/>
                <w:sz w:val="24"/>
              </w:rPr>
              <w:t xml:space="preserve"> 2</w:t>
            </w:r>
            <w:r w:rsidR="00264768" w:rsidRPr="00E740C8">
              <w:rPr>
                <w:rFonts w:ascii="Arial" w:hAnsi="Arial" w:cs="Arial"/>
                <w:b/>
                <w:bCs/>
                <w:sz w:val="24"/>
              </w:rPr>
              <w:t>02</w:t>
            </w:r>
            <w:r w:rsidR="00017D3A" w:rsidRPr="00E740C8">
              <w:rPr>
                <w:rFonts w:ascii="Arial" w:hAnsi="Arial" w:cs="Arial"/>
                <w:b/>
                <w:bCs/>
                <w:sz w:val="24"/>
              </w:rPr>
              <w:t>3/24</w:t>
            </w:r>
          </w:p>
        </w:tc>
        <w:tc>
          <w:tcPr>
            <w:tcW w:w="1640" w:type="dxa"/>
            <w:noWrap/>
            <w:hideMark/>
          </w:tcPr>
          <w:p w14:paraId="13593E05" w14:textId="77777777" w:rsidR="007F7DCA" w:rsidRPr="00E740C8" w:rsidRDefault="00147B55" w:rsidP="007F7DCA">
            <w:pPr>
              <w:jc w:val="both"/>
              <w:rPr>
                <w:rFonts w:ascii="Arial" w:hAnsi="Arial" w:cs="Arial"/>
                <w:b/>
                <w:bCs/>
                <w:sz w:val="24"/>
              </w:rPr>
            </w:pPr>
            <w:r w:rsidRPr="00E740C8">
              <w:rPr>
                <w:rFonts w:ascii="Arial" w:hAnsi="Arial" w:cs="Arial"/>
                <w:b/>
                <w:bCs/>
                <w:sz w:val="24"/>
              </w:rPr>
              <w:t>428,488,430</w:t>
            </w:r>
          </w:p>
        </w:tc>
      </w:tr>
    </w:tbl>
    <w:p w14:paraId="46E9C121" w14:textId="77777777" w:rsidR="008B625D" w:rsidRPr="00E740C8" w:rsidRDefault="008B625D" w:rsidP="000A13C3">
      <w:pPr>
        <w:jc w:val="both"/>
        <w:rPr>
          <w:rFonts w:cs="Arial"/>
          <w:lang w:val="en"/>
        </w:rPr>
      </w:pPr>
    </w:p>
    <w:p w14:paraId="10A2EC5A" w14:textId="77777777" w:rsidR="000A13C3" w:rsidRPr="00E740C8" w:rsidRDefault="00147B55" w:rsidP="000A13C3">
      <w:pPr>
        <w:jc w:val="both"/>
        <w:rPr>
          <w:rFonts w:cs="Arial"/>
          <w:lang w:val="en"/>
        </w:rPr>
      </w:pPr>
      <w:r w:rsidRPr="00E740C8">
        <w:rPr>
          <w:rFonts w:cs="Arial"/>
          <w:lang w:val="en"/>
        </w:rPr>
        <w:t xml:space="preserve"> A</w:t>
      </w:r>
      <w:r w:rsidR="00017D3A" w:rsidRPr="00E740C8">
        <w:rPr>
          <w:rFonts w:cs="Arial"/>
          <w:lang w:val="en"/>
        </w:rPr>
        <w:t>t</w:t>
      </w:r>
      <w:r w:rsidRPr="00E740C8">
        <w:rPr>
          <w:rFonts w:cs="Arial"/>
          <w:lang w:val="en"/>
        </w:rPr>
        <w:t xml:space="preserve"> </w:t>
      </w:r>
      <w:r w:rsidR="00833E58" w:rsidRPr="00E740C8">
        <w:rPr>
          <w:rFonts w:cs="Arial"/>
          <w:lang w:val="en"/>
        </w:rPr>
        <w:t xml:space="preserve">the </w:t>
      </w:r>
      <w:r w:rsidRPr="00E740C8">
        <w:rPr>
          <w:rFonts w:cs="Arial"/>
          <w:lang w:val="en"/>
        </w:rPr>
        <w:t xml:space="preserve">Local Authority level allocation for premises factors and growth funding are added to provide </w:t>
      </w:r>
      <w:r w:rsidR="00017D3A" w:rsidRPr="00E740C8">
        <w:rPr>
          <w:rFonts w:cs="Arial"/>
          <w:lang w:val="en"/>
        </w:rPr>
        <w:t>the</w:t>
      </w:r>
      <w:r w:rsidRPr="00E740C8">
        <w:rPr>
          <w:rFonts w:cs="Arial"/>
          <w:lang w:val="en"/>
        </w:rPr>
        <w:t xml:space="preserve"> final Schools Block allocation</w:t>
      </w:r>
      <w:r w:rsidR="00017D3A" w:rsidRPr="00E740C8">
        <w:rPr>
          <w:rFonts w:cs="Arial"/>
          <w:lang w:val="en"/>
        </w:rPr>
        <w:t>:</w:t>
      </w:r>
    </w:p>
    <w:p w14:paraId="5551F89C" w14:textId="77777777" w:rsidR="003C6AE8" w:rsidRPr="00E740C8" w:rsidRDefault="003C6AE8" w:rsidP="000A13C3">
      <w:pPr>
        <w:jc w:val="both"/>
        <w:rPr>
          <w:rFonts w:cs="Arial"/>
          <w:lang w:val="en"/>
        </w:rPr>
      </w:pPr>
    </w:p>
    <w:tbl>
      <w:tblPr>
        <w:tblStyle w:val="TableGrid"/>
        <w:tblW w:w="0" w:type="auto"/>
        <w:tblLook w:val="04A0" w:firstRow="1" w:lastRow="0" w:firstColumn="1" w:lastColumn="0" w:noHBand="0" w:noVBand="1"/>
      </w:tblPr>
      <w:tblGrid>
        <w:gridCol w:w="6060"/>
        <w:gridCol w:w="1640"/>
      </w:tblGrid>
      <w:tr w:rsidR="00CE2685" w14:paraId="5D093A1E" w14:textId="77777777" w:rsidTr="003C6AE8">
        <w:trPr>
          <w:trHeight w:val="288"/>
        </w:trPr>
        <w:tc>
          <w:tcPr>
            <w:tcW w:w="6060" w:type="dxa"/>
            <w:noWrap/>
            <w:hideMark/>
          </w:tcPr>
          <w:p w14:paraId="44BB5030" w14:textId="77777777" w:rsidR="003C6AE8" w:rsidRPr="00E740C8" w:rsidRDefault="00147B55" w:rsidP="003C6AE8">
            <w:pPr>
              <w:jc w:val="both"/>
              <w:rPr>
                <w:rFonts w:ascii="Arial" w:hAnsi="Arial" w:cs="Arial"/>
                <w:sz w:val="24"/>
              </w:rPr>
            </w:pPr>
            <w:r w:rsidRPr="00E740C8">
              <w:rPr>
                <w:rFonts w:ascii="Arial" w:hAnsi="Arial" w:cs="Arial"/>
                <w:sz w:val="24"/>
              </w:rPr>
              <w:t>Premises factor, including national non-domestic rates (NNDR) (£s)</w:t>
            </w:r>
          </w:p>
        </w:tc>
        <w:tc>
          <w:tcPr>
            <w:tcW w:w="1640" w:type="dxa"/>
            <w:noWrap/>
            <w:hideMark/>
          </w:tcPr>
          <w:p w14:paraId="61002145" w14:textId="77777777" w:rsidR="003C6AE8" w:rsidRPr="00E740C8" w:rsidRDefault="00147B55" w:rsidP="003C6AE8">
            <w:pPr>
              <w:jc w:val="both"/>
              <w:rPr>
                <w:rFonts w:ascii="Arial" w:hAnsi="Arial" w:cs="Arial"/>
                <w:b/>
                <w:bCs/>
                <w:sz w:val="24"/>
              </w:rPr>
            </w:pPr>
            <w:r w:rsidRPr="00E740C8">
              <w:rPr>
                <w:rFonts w:ascii="Arial" w:hAnsi="Arial" w:cs="Arial"/>
                <w:b/>
                <w:bCs/>
                <w:sz w:val="24"/>
              </w:rPr>
              <w:t>13,617,198</w:t>
            </w:r>
          </w:p>
        </w:tc>
      </w:tr>
      <w:tr w:rsidR="00CE2685" w14:paraId="2307722F" w14:textId="77777777" w:rsidTr="003C6AE8">
        <w:trPr>
          <w:trHeight w:val="288"/>
        </w:trPr>
        <w:tc>
          <w:tcPr>
            <w:tcW w:w="6060" w:type="dxa"/>
            <w:noWrap/>
            <w:hideMark/>
          </w:tcPr>
          <w:p w14:paraId="460779DF" w14:textId="77777777" w:rsidR="003C6AE8" w:rsidRPr="00E740C8" w:rsidRDefault="00147B55" w:rsidP="003C6AE8">
            <w:pPr>
              <w:jc w:val="both"/>
              <w:rPr>
                <w:rFonts w:ascii="Arial" w:hAnsi="Arial" w:cs="Arial"/>
                <w:sz w:val="24"/>
              </w:rPr>
            </w:pPr>
            <w:r w:rsidRPr="00E740C8">
              <w:rPr>
                <w:rFonts w:ascii="Arial" w:hAnsi="Arial" w:cs="Arial"/>
                <w:sz w:val="24"/>
              </w:rPr>
              <w:t>Growth funding (£s)</w:t>
            </w:r>
          </w:p>
        </w:tc>
        <w:tc>
          <w:tcPr>
            <w:tcW w:w="1640" w:type="dxa"/>
            <w:noWrap/>
            <w:hideMark/>
          </w:tcPr>
          <w:p w14:paraId="27DB4C36" w14:textId="77777777" w:rsidR="003C6AE8" w:rsidRPr="00E740C8" w:rsidRDefault="00147B55" w:rsidP="003C6AE8">
            <w:pPr>
              <w:jc w:val="both"/>
              <w:rPr>
                <w:rFonts w:ascii="Arial" w:hAnsi="Arial" w:cs="Arial"/>
                <w:b/>
                <w:bCs/>
                <w:sz w:val="24"/>
              </w:rPr>
            </w:pPr>
            <w:r w:rsidRPr="00E740C8">
              <w:rPr>
                <w:rFonts w:ascii="Arial" w:hAnsi="Arial" w:cs="Arial"/>
                <w:b/>
                <w:bCs/>
                <w:sz w:val="24"/>
              </w:rPr>
              <w:t>3,916,920</w:t>
            </w:r>
          </w:p>
        </w:tc>
      </w:tr>
    </w:tbl>
    <w:p w14:paraId="6FB4423F" w14:textId="77777777" w:rsidR="00A67DE4" w:rsidRPr="00E740C8" w:rsidRDefault="00A67DE4" w:rsidP="000A13C3">
      <w:pPr>
        <w:jc w:val="both"/>
        <w:rPr>
          <w:rFonts w:cs="Arial"/>
          <w:lang w:val="en"/>
        </w:rPr>
      </w:pPr>
    </w:p>
    <w:p w14:paraId="715E6E88" w14:textId="77777777" w:rsidR="00302A76" w:rsidRPr="00264768" w:rsidRDefault="00147B55" w:rsidP="001C1FE3">
      <w:pPr>
        <w:jc w:val="both"/>
        <w:rPr>
          <w:rFonts w:cs="Arial"/>
          <w:i/>
          <w:iCs/>
          <w:lang w:val="en"/>
        </w:rPr>
      </w:pPr>
      <w:r w:rsidRPr="00264768">
        <w:rPr>
          <w:rFonts w:cs="Arial"/>
          <w:i/>
          <w:iCs/>
          <w:lang w:val="en"/>
        </w:rPr>
        <w:t>Please note the figures quoted above are gross and do not include deductions to be made to our allocation for Academy Recoupments who will receive their funding direct from the ESFA</w:t>
      </w:r>
      <w:r w:rsidR="00F1779A">
        <w:rPr>
          <w:rFonts w:cs="Arial"/>
          <w:i/>
          <w:iCs/>
          <w:lang w:val="en"/>
        </w:rPr>
        <w:t>.</w:t>
      </w:r>
    </w:p>
    <w:p w14:paraId="4EC35D27" w14:textId="77777777" w:rsidR="00CB19A2" w:rsidRPr="00264768" w:rsidRDefault="00147B55" w:rsidP="00E740C8">
      <w:pPr>
        <w:shd w:val="clear" w:color="auto" w:fill="FFFFFF"/>
        <w:spacing w:before="300" w:after="300"/>
        <w:jc w:val="both"/>
        <w:rPr>
          <w:rFonts w:cs="Arial"/>
          <w:lang w:val="en"/>
        </w:rPr>
      </w:pPr>
      <w:r w:rsidRPr="00264768">
        <w:rPr>
          <w:rFonts w:cs="Arial"/>
          <w:lang w:val="en"/>
        </w:rPr>
        <w:t>The 2022 Autumn Statement announced that the core school's budget will increase by £2</w:t>
      </w:r>
      <w:r w:rsidR="001B0611" w:rsidRPr="00264768">
        <w:rPr>
          <w:rFonts w:cs="Arial"/>
          <w:lang w:val="en"/>
        </w:rPr>
        <w:t>.3</w:t>
      </w:r>
      <w:r w:rsidRPr="00264768">
        <w:rPr>
          <w:rFonts w:cs="Arial"/>
          <w:lang w:val="en"/>
        </w:rPr>
        <w:t xml:space="preserve"> billion in 2023 to 2024 financial year, over and above totals announced at the Spending Review 2021.</w:t>
      </w:r>
    </w:p>
    <w:p w14:paraId="37D983D9" w14:textId="1FEFA5AD" w:rsidR="007E4CA4" w:rsidRPr="00264768" w:rsidRDefault="00147B55" w:rsidP="00E740C8">
      <w:pPr>
        <w:shd w:val="clear" w:color="auto" w:fill="FFFFFF"/>
        <w:spacing w:before="300" w:after="300"/>
        <w:jc w:val="both"/>
        <w:rPr>
          <w:rFonts w:cs="Arial"/>
          <w:lang w:val="en"/>
        </w:rPr>
      </w:pPr>
      <w:r w:rsidRPr="00264768">
        <w:rPr>
          <w:rFonts w:cs="Arial"/>
          <w:lang w:val="en"/>
        </w:rPr>
        <w:t>In 2023 to 2024 financial year, mainstream schools will be allocated additional funding through the mainstream school</w:t>
      </w:r>
      <w:r w:rsidR="00D50C51" w:rsidRPr="00264768">
        <w:rPr>
          <w:rFonts w:cs="Arial"/>
          <w:lang w:val="en"/>
        </w:rPr>
        <w:t>'</w:t>
      </w:r>
      <w:r w:rsidRPr="00264768">
        <w:rPr>
          <w:rFonts w:cs="Arial"/>
          <w:lang w:val="en"/>
        </w:rPr>
        <w:t>s additional grant (MSAG</w:t>
      </w:r>
      <w:r>
        <w:rPr>
          <w:rFonts w:cs="Arial"/>
          <w:lang w:val="en"/>
        </w:rPr>
        <w:t>)</w:t>
      </w:r>
      <w:r w:rsidRPr="00264768">
        <w:rPr>
          <w:rFonts w:cs="Arial"/>
          <w:lang w:val="en"/>
        </w:rPr>
        <w:t xml:space="preserve">. This is in addition to schools’ allocations </w:t>
      </w:r>
      <w:r w:rsidR="00D50C51" w:rsidRPr="00264768">
        <w:rPr>
          <w:rFonts w:cs="Arial"/>
          <w:lang w:val="en"/>
        </w:rPr>
        <w:t xml:space="preserve">noted above calculated </w:t>
      </w:r>
      <w:r w:rsidRPr="00264768">
        <w:rPr>
          <w:rFonts w:cs="Arial"/>
          <w:lang w:val="en"/>
        </w:rPr>
        <w:t>through the schools national funding formul</w:t>
      </w:r>
      <w:r w:rsidR="00D50C51" w:rsidRPr="00264768">
        <w:rPr>
          <w:rFonts w:cs="Arial"/>
          <w:lang w:val="en"/>
        </w:rPr>
        <w:t>a</w:t>
      </w:r>
      <w:r w:rsidR="000D0FA1">
        <w:rPr>
          <w:rFonts w:cs="Arial"/>
          <w:lang w:val="en"/>
        </w:rPr>
        <w:t>.</w:t>
      </w:r>
    </w:p>
    <w:p w14:paraId="2EA3FE24" w14:textId="77777777" w:rsidR="00393584" w:rsidRPr="00264768" w:rsidRDefault="00147B55" w:rsidP="001C1FE3">
      <w:pPr>
        <w:jc w:val="both"/>
        <w:rPr>
          <w:rFonts w:cs="Arial"/>
          <w:color w:val="000000"/>
        </w:rPr>
      </w:pPr>
      <w:r w:rsidRPr="00264768">
        <w:rPr>
          <w:rFonts w:cs="Arial"/>
          <w:lang w:val="en"/>
        </w:rPr>
        <w:t xml:space="preserve">Lancashire's </w:t>
      </w:r>
      <w:r w:rsidR="00D50C51" w:rsidRPr="00264768">
        <w:rPr>
          <w:rFonts w:cs="Arial"/>
          <w:lang w:val="en"/>
        </w:rPr>
        <w:t xml:space="preserve">MSAG </w:t>
      </w:r>
      <w:r w:rsidRPr="00264768">
        <w:rPr>
          <w:rFonts w:cs="Arial"/>
          <w:lang w:val="en"/>
        </w:rPr>
        <w:t>allocation for 2</w:t>
      </w:r>
      <w:r w:rsidR="00264768">
        <w:rPr>
          <w:rFonts w:cs="Arial"/>
          <w:lang w:val="en"/>
        </w:rPr>
        <w:t>02</w:t>
      </w:r>
      <w:r w:rsidRPr="00264768">
        <w:rPr>
          <w:rFonts w:cs="Arial"/>
          <w:lang w:val="en"/>
        </w:rPr>
        <w:t>3/24 is £</w:t>
      </w:r>
      <w:r w:rsidR="00833E58">
        <w:rPr>
          <w:rFonts w:cs="Arial"/>
          <w:lang w:val="en"/>
        </w:rPr>
        <w:t xml:space="preserve"> 31 million</w:t>
      </w:r>
      <w:r w:rsidRPr="00264768">
        <w:rPr>
          <w:rFonts w:cs="Arial"/>
          <w:lang w:val="en"/>
        </w:rPr>
        <w:t xml:space="preserve">. </w:t>
      </w:r>
      <w:r w:rsidRPr="00264768">
        <w:rPr>
          <w:rFonts w:cs="Arial"/>
          <w:color w:val="000000"/>
        </w:rPr>
        <w:t xml:space="preserve">The additional grant funding for 2023 to 2024 </w:t>
      </w:r>
      <w:r w:rsidR="00833E58">
        <w:rPr>
          <w:rFonts w:cs="Arial"/>
          <w:color w:val="000000"/>
        </w:rPr>
        <w:t>is</w:t>
      </w:r>
      <w:r w:rsidRPr="00264768">
        <w:rPr>
          <w:rFonts w:cs="Arial"/>
          <w:color w:val="000000"/>
        </w:rPr>
        <w:t xml:space="preserve"> indicative allocations. School-level allocations will be confirmed in </w:t>
      </w:r>
      <w:r w:rsidR="00AD5CF0" w:rsidRPr="00264768">
        <w:rPr>
          <w:rFonts w:cs="Arial"/>
          <w:color w:val="000000"/>
        </w:rPr>
        <w:t>S</w:t>
      </w:r>
      <w:r w:rsidRPr="00264768">
        <w:rPr>
          <w:rFonts w:cs="Arial"/>
          <w:color w:val="000000"/>
        </w:rPr>
        <w:t xml:space="preserve">pring 2023. </w:t>
      </w:r>
    </w:p>
    <w:p w14:paraId="64596A8A" w14:textId="77777777" w:rsidR="004768EB" w:rsidRPr="00264768" w:rsidRDefault="004768EB" w:rsidP="000A13C3">
      <w:pPr>
        <w:jc w:val="both"/>
        <w:rPr>
          <w:rFonts w:cs="Arial"/>
          <w:lang w:val="en"/>
        </w:rPr>
      </w:pPr>
    </w:p>
    <w:p w14:paraId="55592A91" w14:textId="77777777" w:rsidR="00C2676A" w:rsidRPr="00264768" w:rsidRDefault="00147B55" w:rsidP="000A13C3">
      <w:pPr>
        <w:jc w:val="both"/>
        <w:rPr>
          <w:rFonts w:cs="Arial"/>
          <w:b/>
          <w:bCs/>
        </w:rPr>
      </w:pPr>
      <w:r w:rsidRPr="00264768">
        <w:rPr>
          <w:rFonts w:cs="Arial"/>
          <w:b/>
          <w:bCs/>
        </w:rPr>
        <w:t>This provides a total Lancashire Schools Block allocation for 2022/23 of £</w:t>
      </w:r>
      <w:r w:rsidR="00AD5CF0" w:rsidRPr="00264768">
        <w:rPr>
          <w:rFonts w:cs="Arial"/>
          <w:b/>
          <w:bCs/>
        </w:rPr>
        <w:t>956</w:t>
      </w:r>
      <w:r w:rsidR="00E55FF8">
        <w:rPr>
          <w:rFonts w:cs="Arial"/>
          <w:b/>
          <w:bCs/>
        </w:rPr>
        <w:t xml:space="preserve"> </w:t>
      </w:r>
      <w:r w:rsidR="00AD5CF0" w:rsidRPr="00264768">
        <w:rPr>
          <w:rFonts w:cs="Arial"/>
          <w:b/>
          <w:bCs/>
        </w:rPr>
        <w:t xml:space="preserve">million, including the Mainstream Schools </w:t>
      </w:r>
      <w:r w:rsidR="00DA3CE3" w:rsidRPr="00264768">
        <w:rPr>
          <w:rFonts w:cs="Arial"/>
          <w:b/>
          <w:bCs/>
        </w:rPr>
        <w:t>Additional</w:t>
      </w:r>
      <w:r w:rsidR="00AD5CF0" w:rsidRPr="00264768">
        <w:rPr>
          <w:rFonts w:cs="Arial"/>
          <w:b/>
          <w:bCs/>
        </w:rPr>
        <w:t xml:space="preserve"> Grant</w:t>
      </w:r>
      <w:r w:rsidR="00F1779A">
        <w:rPr>
          <w:rFonts w:cs="Arial"/>
          <w:b/>
          <w:bCs/>
        </w:rPr>
        <w:t>.</w:t>
      </w:r>
    </w:p>
    <w:p w14:paraId="448724D1" w14:textId="77777777" w:rsidR="002118AB" w:rsidRPr="00E740C8" w:rsidRDefault="00147B55" w:rsidP="000A13C3">
      <w:pPr>
        <w:jc w:val="both"/>
        <w:rPr>
          <w:rFonts w:cs="Arial"/>
          <w:lang w:val="en"/>
        </w:rPr>
      </w:pPr>
      <w:r w:rsidRPr="00264768">
        <w:rPr>
          <w:rFonts w:cs="Arial"/>
          <w:lang w:val="en"/>
        </w:rPr>
        <w:lastRenderedPageBreak/>
        <w:t>The 2023/24 Schools Block allocation is over £</w:t>
      </w:r>
      <w:r w:rsidR="00AD5CF0" w:rsidRPr="00264768">
        <w:rPr>
          <w:rFonts w:cs="Arial"/>
          <w:lang w:val="en"/>
        </w:rPr>
        <w:t>52</w:t>
      </w:r>
      <w:r w:rsidRPr="00264768">
        <w:rPr>
          <w:rFonts w:cs="Arial"/>
          <w:lang w:val="en"/>
        </w:rPr>
        <w:t xml:space="preserve">m higher than the equivalent figure in 2022/23. </w:t>
      </w:r>
      <w:r w:rsidR="00432E19" w:rsidRPr="00264768">
        <w:rPr>
          <w:rFonts w:cs="Arial"/>
          <w:lang w:val="en"/>
        </w:rPr>
        <w:t>A breakdown of the increase in funding on the Schools Block is su</w:t>
      </w:r>
      <w:r w:rsidR="00066239" w:rsidRPr="00264768">
        <w:rPr>
          <w:rFonts w:cs="Arial"/>
          <w:lang w:val="en"/>
        </w:rPr>
        <w:t>m</w:t>
      </w:r>
      <w:r w:rsidR="00432E19" w:rsidRPr="00264768">
        <w:rPr>
          <w:rFonts w:cs="Arial"/>
          <w:lang w:val="en"/>
        </w:rPr>
        <w:t>marised in the tables below:</w:t>
      </w:r>
    </w:p>
    <w:p w14:paraId="0F9C3DAC" w14:textId="77777777" w:rsidR="00B8197F" w:rsidRPr="00E740C8" w:rsidRDefault="00B8197F" w:rsidP="000A13C3">
      <w:pPr>
        <w:jc w:val="both"/>
        <w:rPr>
          <w:rFonts w:cs="Arial"/>
          <w:lang w:val="en"/>
        </w:rPr>
      </w:pPr>
    </w:p>
    <w:p w14:paraId="77F6977E" w14:textId="33459704" w:rsidR="00395540" w:rsidRDefault="00147B55" w:rsidP="000A13C3">
      <w:pPr>
        <w:jc w:val="both"/>
        <w:rPr>
          <w:rFonts w:cs="Arial"/>
          <w:lang w:val="en"/>
        </w:rPr>
      </w:pPr>
      <w:r w:rsidRPr="00E740C8">
        <w:rPr>
          <w:rFonts w:cs="Arial"/>
          <w:lang w:val="en"/>
        </w:rPr>
        <w:t>Total Schools Block Increase:</w:t>
      </w:r>
    </w:p>
    <w:p w14:paraId="0FBF33FF" w14:textId="204363E5" w:rsidR="00147B55" w:rsidRDefault="00147B55" w:rsidP="000A13C3">
      <w:pPr>
        <w:jc w:val="both"/>
        <w:rPr>
          <w:rFonts w:cs="Arial"/>
          <w:lang w:val="en"/>
        </w:rPr>
      </w:pPr>
    </w:p>
    <w:tbl>
      <w:tblPr>
        <w:tblStyle w:val="TableGrid"/>
        <w:tblW w:w="0" w:type="auto"/>
        <w:tblLook w:val="04A0" w:firstRow="1" w:lastRow="0" w:firstColumn="1" w:lastColumn="0" w:noHBand="0" w:noVBand="1"/>
      </w:tblPr>
      <w:tblGrid>
        <w:gridCol w:w="5529"/>
        <w:gridCol w:w="1455"/>
        <w:gridCol w:w="1165"/>
      </w:tblGrid>
      <w:tr w:rsidR="00147B55" w:rsidRPr="00147B55" w14:paraId="067D2040" w14:textId="77777777" w:rsidTr="00147B55">
        <w:trPr>
          <w:trHeight w:val="294"/>
        </w:trPr>
        <w:tc>
          <w:tcPr>
            <w:tcW w:w="5529" w:type="dxa"/>
            <w:hideMark/>
          </w:tcPr>
          <w:p w14:paraId="60D26AD4" w14:textId="77777777" w:rsidR="00147B55" w:rsidRPr="00147B55" w:rsidRDefault="00147B55" w:rsidP="00147B55">
            <w:pPr>
              <w:jc w:val="both"/>
              <w:rPr>
                <w:rFonts w:ascii="Arial" w:hAnsi="Arial" w:cs="Arial"/>
                <w:sz w:val="24"/>
              </w:rPr>
            </w:pPr>
          </w:p>
        </w:tc>
        <w:tc>
          <w:tcPr>
            <w:tcW w:w="1455" w:type="dxa"/>
            <w:noWrap/>
            <w:hideMark/>
          </w:tcPr>
          <w:p w14:paraId="035924AE" w14:textId="77777777" w:rsidR="00147B55" w:rsidRPr="00147B55" w:rsidRDefault="00147B55" w:rsidP="00147B55">
            <w:pPr>
              <w:jc w:val="both"/>
              <w:rPr>
                <w:rFonts w:ascii="Arial" w:hAnsi="Arial" w:cs="Arial"/>
                <w:b/>
                <w:bCs/>
                <w:sz w:val="24"/>
              </w:rPr>
            </w:pPr>
            <w:r w:rsidRPr="00147B55">
              <w:rPr>
                <w:rFonts w:ascii="Arial" w:hAnsi="Arial" w:cs="Arial"/>
                <w:b/>
                <w:bCs/>
                <w:sz w:val="24"/>
              </w:rPr>
              <w:t>23/24</w:t>
            </w:r>
          </w:p>
        </w:tc>
        <w:tc>
          <w:tcPr>
            <w:tcW w:w="1165" w:type="dxa"/>
            <w:noWrap/>
            <w:hideMark/>
          </w:tcPr>
          <w:p w14:paraId="0DE0DCA3" w14:textId="77777777" w:rsidR="00147B55" w:rsidRPr="00147B55" w:rsidRDefault="00147B55" w:rsidP="00147B55">
            <w:pPr>
              <w:jc w:val="both"/>
              <w:rPr>
                <w:rFonts w:ascii="Arial" w:hAnsi="Arial" w:cs="Arial"/>
                <w:b/>
                <w:bCs/>
                <w:sz w:val="24"/>
              </w:rPr>
            </w:pPr>
            <w:r w:rsidRPr="00147B55">
              <w:rPr>
                <w:rFonts w:ascii="Arial" w:hAnsi="Arial" w:cs="Arial"/>
                <w:b/>
                <w:bCs/>
                <w:sz w:val="24"/>
              </w:rPr>
              <w:t>22/23</w:t>
            </w:r>
          </w:p>
        </w:tc>
      </w:tr>
      <w:tr w:rsidR="00147B55" w:rsidRPr="00147B55" w14:paraId="05227583" w14:textId="77777777" w:rsidTr="00147B55">
        <w:trPr>
          <w:trHeight w:val="294"/>
        </w:trPr>
        <w:tc>
          <w:tcPr>
            <w:tcW w:w="5529" w:type="dxa"/>
            <w:hideMark/>
          </w:tcPr>
          <w:p w14:paraId="094AF239" w14:textId="77777777" w:rsidR="00147B55" w:rsidRPr="00147B55" w:rsidRDefault="00147B55" w:rsidP="00147B55">
            <w:pPr>
              <w:jc w:val="both"/>
              <w:rPr>
                <w:rFonts w:ascii="Arial" w:hAnsi="Arial" w:cs="Arial"/>
                <w:sz w:val="24"/>
              </w:rPr>
            </w:pPr>
            <w:r w:rsidRPr="00147B55">
              <w:rPr>
                <w:rFonts w:ascii="Arial" w:hAnsi="Arial" w:cs="Arial"/>
                <w:sz w:val="24"/>
              </w:rPr>
              <w:t>Schools DSG block (£m)</w:t>
            </w:r>
          </w:p>
        </w:tc>
        <w:tc>
          <w:tcPr>
            <w:tcW w:w="1455" w:type="dxa"/>
            <w:noWrap/>
            <w:hideMark/>
          </w:tcPr>
          <w:p w14:paraId="1B3B2650" w14:textId="77777777" w:rsidR="00147B55" w:rsidRPr="00147B55" w:rsidRDefault="00147B55" w:rsidP="00147B55">
            <w:pPr>
              <w:jc w:val="both"/>
              <w:rPr>
                <w:rFonts w:ascii="Arial" w:hAnsi="Arial" w:cs="Arial"/>
                <w:sz w:val="24"/>
              </w:rPr>
            </w:pPr>
            <w:r w:rsidRPr="00147B55">
              <w:rPr>
                <w:rFonts w:ascii="Arial" w:hAnsi="Arial" w:cs="Arial"/>
                <w:sz w:val="24"/>
              </w:rPr>
              <w:t>925</w:t>
            </w:r>
          </w:p>
        </w:tc>
        <w:tc>
          <w:tcPr>
            <w:tcW w:w="1165" w:type="dxa"/>
            <w:noWrap/>
            <w:hideMark/>
          </w:tcPr>
          <w:p w14:paraId="473987FB" w14:textId="77777777" w:rsidR="00147B55" w:rsidRPr="00147B55" w:rsidRDefault="00147B55" w:rsidP="00147B55">
            <w:pPr>
              <w:jc w:val="both"/>
              <w:rPr>
                <w:rFonts w:ascii="Arial" w:hAnsi="Arial" w:cs="Arial"/>
                <w:sz w:val="24"/>
              </w:rPr>
            </w:pPr>
            <w:r w:rsidRPr="00147B55">
              <w:rPr>
                <w:rFonts w:ascii="Arial" w:hAnsi="Arial" w:cs="Arial"/>
                <w:sz w:val="24"/>
              </w:rPr>
              <w:t>878</w:t>
            </w:r>
          </w:p>
        </w:tc>
      </w:tr>
      <w:tr w:rsidR="00147B55" w:rsidRPr="00147B55" w14:paraId="34A460FA" w14:textId="77777777" w:rsidTr="00147B55">
        <w:trPr>
          <w:trHeight w:val="294"/>
        </w:trPr>
        <w:tc>
          <w:tcPr>
            <w:tcW w:w="5529" w:type="dxa"/>
            <w:hideMark/>
          </w:tcPr>
          <w:p w14:paraId="1602E774" w14:textId="07524956" w:rsidR="00147B55" w:rsidRPr="00147B55" w:rsidRDefault="001E13C5" w:rsidP="00147B55">
            <w:pPr>
              <w:jc w:val="both"/>
              <w:rPr>
                <w:rFonts w:ascii="Arial" w:hAnsi="Arial" w:cs="Arial"/>
                <w:sz w:val="24"/>
              </w:rPr>
            </w:pPr>
            <w:r w:rsidRPr="00147B55">
              <w:rPr>
                <w:rFonts w:ascii="Arial" w:hAnsi="Arial" w:cs="Arial"/>
                <w:sz w:val="24"/>
              </w:rPr>
              <w:t>Additional</w:t>
            </w:r>
            <w:r w:rsidR="00147B55" w:rsidRPr="00147B55">
              <w:rPr>
                <w:rFonts w:ascii="Arial" w:hAnsi="Arial" w:cs="Arial"/>
                <w:sz w:val="24"/>
              </w:rPr>
              <w:t xml:space="preserve"> Grant Funding (£)</w:t>
            </w:r>
          </w:p>
        </w:tc>
        <w:tc>
          <w:tcPr>
            <w:tcW w:w="1455" w:type="dxa"/>
            <w:noWrap/>
            <w:hideMark/>
          </w:tcPr>
          <w:p w14:paraId="0875FDD9" w14:textId="77777777" w:rsidR="00147B55" w:rsidRPr="00147B55" w:rsidRDefault="00147B55" w:rsidP="00147B55">
            <w:pPr>
              <w:jc w:val="both"/>
              <w:rPr>
                <w:rFonts w:ascii="Arial" w:hAnsi="Arial" w:cs="Arial"/>
                <w:sz w:val="24"/>
              </w:rPr>
            </w:pPr>
            <w:r w:rsidRPr="00147B55">
              <w:rPr>
                <w:rFonts w:ascii="Arial" w:hAnsi="Arial" w:cs="Arial"/>
                <w:sz w:val="24"/>
              </w:rPr>
              <w:t>31</w:t>
            </w:r>
          </w:p>
        </w:tc>
        <w:tc>
          <w:tcPr>
            <w:tcW w:w="1165" w:type="dxa"/>
            <w:noWrap/>
            <w:hideMark/>
          </w:tcPr>
          <w:p w14:paraId="319823DB" w14:textId="77777777" w:rsidR="00147B55" w:rsidRPr="00147B55" w:rsidRDefault="00147B55" w:rsidP="00147B55">
            <w:pPr>
              <w:jc w:val="both"/>
              <w:rPr>
                <w:rFonts w:ascii="Arial" w:hAnsi="Arial" w:cs="Arial"/>
                <w:sz w:val="24"/>
              </w:rPr>
            </w:pPr>
            <w:r w:rsidRPr="00147B55">
              <w:rPr>
                <w:rFonts w:ascii="Arial" w:hAnsi="Arial" w:cs="Arial"/>
                <w:sz w:val="24"/>
              </w:rPr>
              <w:t>25</w:t>
            </w:r>
          </w:p>
        </w:tc>
      </w:tr>
      <w:tr w:rsidR="00147B55" w:rsidRPr="00147B55" w14:paraId="4FEFB1F6" w14:textId="77777777" w:rsidTr="00147B55">
        <w:trPr>
          <w:trHeight w:val="588"/>
        </w:trPr>
        <w:tc>
          <w:tcPr>
            <w:tcW w:w="5529" w:type="dxa"/>
            <w:hideMark/>
          </w:tcPr>
          <w:p w14:paraId="21291730" w14:textId="77777777" w:rsidR="00147B55" w:rsidRPr="00147B55" w:rsidRDefault="00147B55" w:rsidP="00147B55">
            <w:pPr>
              <w:jc w:val="both"/>
              <w:rPr>
                <w:rFonts w:ascii="Arial" w:hAnsi="Arial" w:cs="Arial"/>
                <w:b/>
                <w:bCs/>
                <w:sz w:val="24"/>
              </w:rPr>
            </w:pPr>
            <w:r w:rsidRPr="00147B55">
              <w:rPr>
                <w:rFonts w:ascii="Arial" w:hAnsi="Arial" w:cs="Arial"/>
                <w:b/>
                <w:bCs/>
                <w:sz w:val="24"/>
              </w:rPr>
              <w:t>Schools DSG block Including Additional Grant Funding (£)</w:t>
            </w:r>
          </w:p>
        </w:tc>
        <w:tc>
          <w:tcPr>
            <w:tcW w:w="1455" w:type="dxa"/>
            <w:noWrap/>
            <w:hideMark/>
          </w:tcPr>
          <w:p w14:paraId="406B410A" w14:textId="77777777" w:rsidR="00147B55" w:rsidRPr="00147B55" w:rsidRDefault="00147B55" w:rsidP="00147B55">
            <w:pPr>
              <w:jc w:val="both"/>
              <w:rPr>
                <w:rFonts w:ascii="Arial" w:hAnsi="Arial" w:cs="Arial"/>
                <w:b/>
                <w:bCs/>
                <w:sz w:val="24"/>
              </w:rPr>
            </w:pPr>
            <w:r w:rsidRPr="00147B55">
              <w:rPr>
                <w:rFonts w:ascii="Arial" w:hAnsi="Arial" w:cs="Arial"/>
                <w:b/>
                <w:bCs/>
                <w:sz w:val="24"/>
              </w:rPr>
              <w:t>956</w:t>
            </w:r>
          </w:p>
        </w:tc>
        <w:tc>
          <w:tcPr>
            <w:tcW w:w="1165" w:type="dxa"/>
            <w:noWrap/>
            <w:hideMark/>
          </w:tcPr>
          <w:p w14:paraId="6DAAE3BD" w14:textId="77777777" w:rsidR="00147B55" w:rsidRPr="00147B55" w:rsidRDefault="00147B55" w:rsidP="00147B55">
            <w:pPr>
              <w:jc w:val="both"/>
              <w:rPr>
                <w:rFonts w:ascii="Arial" w:hAnsi="Arial" w:cs="Arial"/>
                <w:b/>
                <w:bCs/>
                <w:sz w:val="24"/>
              </w:rPr>
            </w:pPr>
            <w:r w:rsidRPr="00147B55">
              <w:rPr>
                <w:rFonts w:ascii="Arial" w:hAnsi="Arial" w:cs="Arial"/>
                <w:b/>
                <w:bCs/>
                <w:sz w:val="24"/>
              </w:rPr>
              <w:t>903</w:t>
            </w:r>
          </w:p>
        </w:tc>
      </w:tr>
      <w:tr w:rsidR="00147B55" w:rsidRPr="00147B55" w14:paraId="7D03A869" w14:textId="77777777" w:rsidTr="00147B55">
        <w:trPr>
          <w:trHeight w:val="294"/>
        </w:trPr>
        <w:tc>
          <w:tcPr>
            <w:tcW w:w="5529" w:type="dxa"/>
            <w:hideMark/>
          </w:tcPr>
          <w:p w14:paraId="398AFE36" w14:textId="77777777" w:rsidR="00147B55" w:rsidRPr="00147B55" w:rsidRDefault="00147B55" w:rsidP="00147B55">
            <w:pPr>
              <w:jc w:val="both"/>
              <w:rPr>
                <w:rFonts w:ascii="Arial" w:hAnsi="Arial" w:cs="Arial"/>
                <w:b/>
                <w:bCs/>
                <w:sz w:val="24"/>
              </w:rPr>
            </w:pPr>
          </w:p>
        </w:tc>
        <w:tc>
          <w:tcPr>
            <w:tcW w:w="1455" w:type="dxa"/>
            <w:noWrap/>
            <w:hideMark/>
          </w:tcPr>
          <w:p w14:paraId="24474146" w14:textId="77777777" w:rsidR="00147B55" w:rsidRPr="00147B55" w:rsidRDefault="00147B55" w:rsidP="00147B55">
            <w:pPr>
              <w:jc w:val="both"/>
              <w:rPr>
                <w:rFonts w:ascii="Arial" w:hAnsi="Arial" w:cs="Arial"/>
                <w:sz w:val="24"/>
              </w:rPr>
            </w:pPr>
          </w:p>
        </w:tc>
        <w:tc>
          <w:tcPr>
            <w:tcW w:w="1165" w:type="dxa"/>
            <w:noWrap/>
            <w:hideMark/>
          </w:tcPr>
          <w:p w14:paraId="5C9FE43C" w14:textId="77777777" w:rsidR="00147B55" w:rsidRPr="00147B55" w:rsidRDefault="00147B55" w:rsidP="00147B55">
            <w:pPr>
              <w:jc w:val="both"/>
              <w:rPr>
                <w:rFonts w:ascii="Arial" w:hAnsi="Arial" w:cs="Arial"/>
                <w:sz w:val="24"/>
              </w:rPr>
            </w:pPr>
          </w:p>
        </w:tc>
      </w:tr>
      <w:tr w:rsidR="00147B55" w:rsidRPr="00147B55" w14:paraId="098440F3" w14:textId="77777777" w:rsidTr="00147B55">
        <w:trPr>
          <w:trHeight w:val="588"/>
        </w:trPr>
        <w:tc>
          <w:tcPr>
            <w:tcW w:w="5529" w:type="dxa"/>
            <w:hideMark/>
          </w:tcPr>
          <w:p w14:paraId="1060C373" w14:textId="77777777" w:rsidR="00147B55" w:rsidRPr="00147B55" w:rsidRDefault="00147B55" w:rsidP="00147B55">
            <w:pPr>
              <w:jc w:val="both"/>
              <w:rPr>
                <w:rFonts w:ascii="Arial" w:hAnsi="Arial" w:cs="Arial"/>
                <w:i/>
                <w:iCs/>
                <w:sz w:val="24"/>
              </w:rPr>
            </w:pPr>
            <w:r w:rsidRPr="00147B55">
              <w:rPr>
                <w:rFonts w:ascii="Arial" w:hAnsi="Arial" w:cs="Arial"/>
                <w:i/>
                <w:iCs/>
                <w:sz w:val="24"/>
              </w:rPr>
              <w:t xml:space="preserve">Increase in schools funding from 2022-23 to 2023-24 (£m) </w:t>
            </w:r>
          </w:p>
        </w:tc>
        <w:tc>
          <w:tcPr>
            <w:tcW w:w="1455" w:type="dxa"/>
            <w:noWrap/>
            <w:hideMark/>
          </w:tcPr>
          <w:p w14:paraId="6B36DDA1" w14:textId="77777777" w:rsidR="00147B55" w:rsidRPr="00147B55" w:rsidRDefault="00147B55" w:rsidP="00147B55">
            <w:pPr>
              <w:jc w:val="both"/>
              <w:rPr>
                <w:rFonts w:ascii="Arial" w:hAnsi="Arial" w:cs="Arial"/>
                <w:i/>
                <w:iCs/>
                <w:sz w:val="24"/>
              </w:rPr>
            </w:pPr>
            <w:r w:rsidRPr="00147B55">
              <w:rPr>
                <w:rFonts w:ascii="Arial" w:hAnsi="Arial" w:cs="Arial"/>
                <w:i/>
                <w:iCs/>
                <w:sz w:val="24"/>
              </w:rPr>
              <w:t>52</w:t>
            </w:r>
          </w:p>
        </w:tc>
        <w:tc>
          <w:tcPr>
            <w:tcW w:w="1165" w:type="dxa"/>
            <w:noWrap/>
            <w:hideMark/>
          </w:tcPr>
          <w:p w14:paraId="32E154F0" w14:textId="77777777" w:rsidR="00147B55" w:rsidRPr="00147B55" w:rsidRDefault="00147B55" w:rsidP="00147B55">
            <w:pPr>
              <w:jc w:val="both"/>
              <w:rPr>
                <w:rFonts w:ascii="Arial" w:hAnsi="Arial" w:cs="Arial"/>
                <w:i/>
                <w:iCs/>
                <w:sz w:val="24"/>
              </w:rPr>
            </w:pPr>
          </w:p>
        </w:tc>
      </w:tr>
      <w:tr w:rsidR="00147B55" w:rsidRPr="00147B55" w14:paraId="7F921385" w14:textId="77777777" w:rsidTr="00147B55">
        <w:trPr>
          <w:trHeight w:val="588"/>
        </w:trPr>
        <w:tc>
          <w:tcPr>
            <w:tcW w:w="5529" w:type="dxa"/>
            <w:hideMark/>
          </w:tcPr>
          <w:p w14:paraId="31BC61E0" w14:textId="77777777" w:rsidR="00147B55" w:rsidRPr="00147B55" w:rsidRDefault="00147B55" w:rsidP="00147B55">
            <w:pPr>
              <w:jc w:val="both"/>
              <w:rPr>
                <w:rFonts w:ascii="Arial" w:hAnsi="Arial" w:cs="Arial"/>
                <w:i/>
                <w:iCs/>
                <w:sz w:val="24"/>
              </w:rPr>
            </w:pPr>
            <w:r w:rsidRPr="00147B55">
              <w:rPr>
                <w:rFonts w:ascii="Arial" w:hAnsi="Arial" w:cs="Arial"/>
                <w:i/>
                <w:iCs/>
                <w:sz w:val="24"/>
              </w:rPr>
              <w:t xml:space="preserve">Increase in schools funding from 2022-23 to 2023-24 (%) </w:t>
            </w:r>
          </w:p>
        </w:tc>
        <w:tc>
          <w:tcPr>
            <w:tcW w:w="1455" w:type="dxa"/>
            <w:noWrap/>
            <w:hideMark/>
          </w:tcPr>
          <w:p w14:paraId="23039FAD" w14:textId="77777777" w:rsidR="00147B55" w:rsidRPr="00147B55" w:rsidRDefault="00147B55" w:rsidP="00147B55">
            <w:pPr>
              <w:jc w:val="both"/>
              <w:rPr>
                <w:rFonts w:ascii="Arial" w:hAnsi="Arial" w:cs="Arial"/>
                <w:i/>
                <w:iCs/>
                <w:sz w:val="24"/>
              </w:rPr>
            </w:pPr>
            <w:r w:rsidRPr="00147B55">
              <w:rPr>
                <w:rFonts w:ascii="Arial" w:hAnsi="Arial" w:cs="Arial"/>
                <w:i/>
                <w:iCs/>
                <w:sz w:val="24"/>
              </w:rPr>
              <w:t>5.8%</w:t>
            </w:r>
          </w:p>
        </w:tc>
        <w:tc>
          <w:tcPr>
            <w:tcW w:w="1165" w:type="dxa"/>
            <w:noWrap/>
            <w:hideMark/>
          </w:tcPr>
          <w:p w14:paraId="5D116665" w14:textId="77777777" w:rsidR="00147B55" w:rsidRPr="00147B55" w:rsidRDefault="00147B55" w:rsidP="00147B55">
            <w:pPr>
              <w:jc w:val="both"/>
              <w:rPr>
                <w:rFonts w:ascii="Arial" w:hAnsi="Arial" w:cs="Arial"/>
                <w:i/>
                <w:iCs/>
                <w:sz w:val="24"/>
              </w:rPr>
            </w:pPr>
          </w:p>
        </w:tc>
      </w:tr>
      <w:tr w:rsidR="00147B55" w:rsidRPr="00147B55" w14:paraId="55BD67CA" w14:textId="77777777" w:rsidTr="00147B55">
        <w:trPr>
          <w:trHeight w:val="588"/>
        </w:trPr>
        <w:tc>
          <w:tcPr>
            <w:tcW w:w="5529" w:type="dxa"/>
            <w:hideMark/>
          </w:tcPr>
          <w:p w14:paraId="2203C590" w14:textId="77777777" w:rsidR="00147B55" w:rsidRPr="00147B55" w:rsidRDefault="00147B55" w:rsidP="00147B55">
            <w:pPr>
              <w:jc w:val="both"/>
              <w:rPr>
                <w:rFonts w:ascii="Arial" w:hAnsi="Arial" w:cs="Arial"/>
                <w:i/>
                <w:iCs/>
                <w:sz w:val="24"/>
              </w:rPr>
            </w:pPr>
            <w:r w:rsidRPr="00147B55">
              <w:rPr>
                <w:rFonts w:ascii="Arial" w:hAnsi="Arial" w:cs="Arial"/>
                <w:i/>
                <w:iCs/>
                <w:sz w:val="24"/>
              </w:rPr>
              <w:t xml:space="preserve">Increase in schools funding from 2022-23 to 2023-24 (%, per pupil) </w:t>
            </w:r>
          </w:p>
        </w:tc>
        <w:tc>
          <w:tcPr>
            <w:tcW w:w="1455" w:type="dxa"/>
            <w:noWrap/>
            <w:hideMark/>
          </w:tcPr>
          <w:p w14:paraId="05BEDCB0" w14:textId="77777777" w:rsidR="00147B55" w:rsidRPr="00147B55" w:rsidRDefault="00147B55" w:rsidP="00147B55">
            <w:pPr>
              <w:jc w:val="both"/>
              <w:rPr>
                <w:rFonts w:ascii="Arial" w:hAnsi="Arial" w:cs="Arial"/>
                <w:i/>
                <w:iCs/>
                <w:sz w:val="24"/>
              </w:rPr>
            </w:pPr>
            <w:r w:rsidRPr="00147B55">
              <w:rPr>
                <w:rFonts w:ascii="Arial" w:hAnsi="Arial" w:cs="Arial"/>
                <w:i/>
                <w:iCs/>
                <w:sz w:val="24"/>
              </w:rPr>
              <w:t>5.6%</w:t>
            </w:r>
          </w:p>
        </w:tc>
        <w:tc>
          <w:tcPr>
            <w:tcW w:w="1165" w:type="dxa"/>
            <w:noWrap/>
            <w:hideMark/>
          </w:tcPr>
          <w:p w14:paraId="06250855" w14:textId="77777777" w:rsidR="00147B55" w:rsidRPr="00147B55" w:rsidRDefault="00147B55" w:rsidP="00147B55">
            <w:pPr>
              <w:jc w:val="both"/>
              <w:rPr>
                <w:rFonts w:ascii="Arial" w:hAnsi="Arial" w:cs="Arial"/>
                <w:i/>
                <w:iCs/>
                <w:sz w:val="24"/>
              </w:rPr>
            </w:pPr>
          </w:p>
        </w:tc>
      </w:tr>
    </w:tbl>
    <w:p w14:paraId="545C1C69" w14:textId="77777777" w:rsidR="00147B55" w:rsidRPr="00E740C8" w:rsidRDefault="00147B55" w:rsidP="000A13C3">
      <w:pPr>
        <w:jc w:val="both"/>
        <w:rPr>
          <w:rFonts w:cs="Arial"/>
          <w:lang w:val="en"/>
        </w:rPr>
      </w:pPr>
    </w:p>
    <w:p w14:paraId="2E2605F8" w14:textId="77777777" w:rsidR="00593B8B" w:rsidRPr="00264768" w:rsidRDefault="00147B55" w:rsidP="000A13C3">
      <w:pPr>
        <w:jc w:val="both"/>
        <w:rPr>
          <w:rFonts w:cs="Arial"/>
          <w:b/>
          <w:bCs/>
          <w:lang w:val="en"/>
        </w:rPr>
      </w:pPr>
      <w:r w:rsidRPr="00264768">
        <w:rPr>
          <w:rFonts w:cs="Arial"/>
          <w:b/>
          <w:bCs/>
          <w:lang w:val="en"/>
        </w:rPr>
        <w:t>Rates Process Update</w:t>
      </w:r>
    </w:p>
    <w:p w14:paraId="03BFCE45" w14:textId="77777777" w:rsidR="000A13C3" w:rsidRPr="00264768" w:rsidRDefault="00147B55" w:rsidP="000A13C3">
      <w:pPr>
        <w:autoSpaceDE w:val="0"/>
        <w:autoSpaceDN w:val="0"/>
        <w:adjustRightInd w:val="0"/>
        <w:jc w:val="both"/>
        <w:rPr>
          <w:rFonts w:eastAsia="Calibri" w:cs="Arial"/>
          <w:color w:val="0D0D0D"/>
          <w:lang w:eastAsia="en-US"/>
        </w:rPr>
      </w:pPr>
      <w:r w:rsidRPr="00264768">
        <w:rPr>
          <w:rFonts w:eastAsia="Calibri" w:cs="Arial"/>
          <w:color w:val="0D0D0D"/>
          <w:lang w:eastAsia="en-US"/>
        </w:rPr>
        <w:t>From 2022/</w:t>
      </w:r>
      <w:r w:rsidR="00DA3CE3" w:rsidRPr="00264768">
        <w:rPr>
          <w:rFonts w:eastAsia="Calibri" w:cs="Arial"/>
          <w:color w:val="0D0D0D"/>
          <w:lang w:eastAsia="en-US"/>
        </w:rPr>
        <w:t>23, schools'</w:t>
      </w:r>
      <w:r w:rsidRPr="00264768">
        <w:rPr>
          <w:rFonts w:eastAsia="Calibri" w:cs="Arial"/>
          <w:color w:val="0D0D0D"/>
          <w:lang w:eastAsia="en-US"/>
        </w:rPr>
        <w:t xml:space="preserve"> business rates were meant to be paid by the Education and Skills Funding Agency to billing authorities directly on behalf of all state funded schools. </w:t>
      </w:r>
      <w:r w:rsidR="00264768">
        <w:rPr>
          <w:rFonts w:eastAsia="Calibri" w:cs="Arial"/>
          <w:color w:val="0D0D0D"/>
          <w:lang w:eastAsia="en-US"/>
        </w:rPr>
        <w:t>B</w:t>
      </w:r>
      <w:r w:rsidRPr="00264768">
        <w:rPr>
          <w:rFonts w:cs="Arial"/>
        </w:rPr>
        <w:t xml:space="preserve">usiness rates revised arrangements were introduced </w:t>
      </w:r>
      <w:r w:rsidR="00322B85" w:rsidRPr="00264768">
        <w:rPr>
          <w:rFonts w:cs="Arial"/>
        </w:rPr>
        <w:t>i</w:t>
      </w:r>
      <w:r w:rsidRPr="00264768">
        <w:rPr>
          <w:rFonts w:cs="Arial"/>
        </w:rPr>
        <w:t xml:space="preserve">n some LAs in 2022/23. However, the historic arrangements continued to apply in Lancashire, and at this point, </w:t>
      </w:r>
      <w:r w:rsidR="00833E58" w:rsidRPr="00833E58">
        <w:rPr>
          <w:rFonts w:cs="Arial"/>
        </w:rPr>
        <w:t xml:space="preserve">we expect the existing rates arrangements to continue for schools' business rates </w:t>
      </w:r>
      <w:r w:rsidRPr="00264768">
        <w:rPr>
          <w:rFonts w:cs="Arial"/>
        </w:rPr>
        <w:t>in 2023/24.</w:t>
      </w:r>
    </w:p>
    <w:p w14:paraId="7058D201" w14:textId="77777777" w:rsidR="000A13C3" w:rsidRPr="00264768" w:rsidRDefault="000A13C3" w:rsidP="000A13C3">
      <w:pPr>
        <w:contextualSpacing/>
        <w:jc w:val="both"/>
        <w:rPr>
          <w:rFonts w:cs="Arial"/>
          <w:b/>
          <w:bCs/>
        </w:rPr>
      </w:pPr>
    </w:p>
    <w:p w14:paraId="1A7D5F43" w14:textId="77777777" w:rsidR="000A13C3" w:rsidRDefault="00147B55" w:rsidP="000A13C3">
      <w:pPr>
        <w:contextualSpacing/>
        <w:jc w:val="both"/>
        <w:rPr>
          <w:rFonts w:cs="Arial"/>
        </w:rPr>
      </w:pPr>
      <w:r w:rsidRPr="00264768">
        <w:rPr>
          <w:rFonts w:cs="Arial"/>
        </w:rPr>
        <w:t xml:space="preserve">DfE </w:t>
      </w:r>
      <w:r w:rsidR="00833E58">
        <w:rPr>
          <w:rFonts w:cs="Arial"/>
        </w:rPr>
        <w:t>has</w:t>
      </w:r>
      <w:r w:rsidRPr="00264768">
        <w:rPr>
          <w:rFonts w:cs="Arial"/>
        </w:rPr>
        <w:t xml:space="preserve"> indicated that they have asked local authorities to confirm by January 2023 the payment process they will be implementing for April 2023.  In 2 tier local authority areas (like Lancashire), all billing authorities need to agree to implement the National </w:t>
      </w:r>
      <w:r w:rsidR="00DA3CE3" w:rsidRPr="00264768">
        <w:rPr>
          <w:rFonts w:cs="Arial"/>
        </w:rPr>
        <w:t>Non-Domestic</w:t>
      </w:r>
      <w:r w:rsidRPr="00264768">
        <w:rPr>
          <w:rFonts w:cs="Arial"/>
        </w:rPr>
        <w:t xml:space="preserve"> Rates (NNDR) changes before they are introduced and if mutual consent is not reached it will not be possible for any billing authority to adopt the revised payment process</w:t>
      </w:r>
      <w:r>
        <w:rPr>
          <w:rFonts w:cs="Arial"/>
        </w:rPr>
        <w:t>.</w:t>
      </w:r>
    </w:p>
    <w:p w14:paraId="56BC3A39" w14:textId="77777777" w:rsidR="00F1779A" w:rsidRPr="00264768" w:rsidRDefault="00F1779A" w:rsidP="000A13C3">
      <w:pPr>
        <w:contextualSpacing/>
        <w:jc w:val="both"/>
        <w:rPr>
          <w:rFonts w:cs="Arial"/>
        </w:rPr>
      </w:pPr>
    </w:p>
    <w:p w14:paraId="0E126EFB" w14:textId="77777777" w:rsidR="00E03FFF" w:rsidRPr="00F1779A" w:rsidRDefault="00147B55" w:rsidP="000A13C3">
      <w:pPr>
        <w:jc w:val="both"/>
        <w:rPr>
          <w:rFonts w:cs="Arial"/>
          <w:b/>
          <w:u w:val="single"/>
        </w:rPr>
      </w:pPr>
      <w:r w:rsidRPr="00264768">
        <w:rPr>
          <w:rFonts w:cs="Arial"/>
          <w:b/>
          <w:u w:val="single"/>
        </w:rPr>
        <w:t xml:space="preserve">High Needs Block allocation </w:t>
      </w:r>
      <w:r w:rsidR="00E55FF8">
        <w:rPr>
          <w:rFonts w:cs="Arial"/>
          <w:b/>
          <w:u w:val="single"/>
        </w:rPr>
        <w:t>–</w:t>
      </w:r>
      <w:r w:rsidR="00616621" w:rsidRPr="00264768">
        <w:rPr>
          <w:rFonts w:cs="Arial"/>
          <w:b/>
          <w:u w:val="single"/>
        </w:rPr>
        <w:t xml:space="preserve"> </w:t>
      </w:r>
      <w:r w:rsidR="00E55FF8">
        <w:rPr>
          <w:rFonts w:cs="Arial"/>
          <w:b/>
          <w:u w:val="single"/>
        </w:rPr>
        <w:t>(</w:t>
      </w:r>
      <w:r w:rsidR="00616621" w:rsidRPr="00264768">
        <w:rPr>
          <w:rFonts w:cs="Arial"/>
          <w:b/>
          <w:u w:val="single"/>
        </w:rPr>
        <w:t>£</w:t>
      </w:r>
      <w:r w:rsidR="00085949" w:rsidRPr="00264768">
        <w:rPr>
          <w:rFonts w:cs="Arial"/>
          <w:b/>
          <w:u w:val="single"/>
        </w:rPr>
        <w:t>193</w:t>
      </w:r>
      <w:r w:rsidRPr="00264768">
        <w:rPr>
          <w:rFonts w:cs="Arial"/>
          <w:b/>
          <w:u w:val="single"/>
        </w:rPr>
        <w:t>million</w:t>
      </w:r>
      <w:r w:rsidR="00E55FF8">
        <w:rPr>
          <w:rFonts w:cs="Arial"/>
          <w:b/>
          <w:u w:val="single"/>
        </w:rPr>
        <w:t>)</w:t>
      </w:r>
    </w:p>
    <w:p w14:paraId="74385797" w14:textId="77777777" w:rsidR="000A13C3" w:rsidRPr="00264768" w:rsidRDefault="00147B55" w:rsidP="000A13C3">
      <w:pPr>
        <w:jc w:val="both"/>
        <w:rPr>
          <w:rFonts w:cs="Arial"/>
        </w:rPr>
      </w:pPr>
      <w:r w:rsidRPr="00264768">
        <w:rPr>
          <w:rFonts w:cs="Arial"/>
        </w:rPr>
        <w:t>The 2023/24 High Needs Block allocation is calculated under the Government's national High Needs funding formula.  Key features of the formula include:</w:t>
      </w:r>
    </w:p>
    <w:p w14:paraId="308535D7" w14:textId="77777777" w:rsidR="000A13C3" w:rsidRPr="00264768" w:rsidRDefault="000A13C3" w:rsidP="000A13C3">
      <w:pPr>
        <w:jc w:val="both"/>
        <w:rPr>
          <w:rFonts w:cs="Arial"/>
        </w:rPr>
      </w:pPr>
    </w:p>
    <w:p w14:paraId="016F47DC" w14:textId="77777777" w:rsidR="000A13C3" w:rsidRPr="00264768" w:rsidRDefault="00147B55" w:rsidP="000A13C3">
      <w:pPr>
        <w:numPr>
          <w:ilvl w:val="0"/>
          <w:numId w:val="3"/>
        </w:numPr>
        <w:jc w:val="both"/>
        <w:rPr>
          <w:rFonts w:cs="Arial"/>
        </w:rPr>
      </w:pPr>
      <w:r w:rsidRPr="00264768">
        <w:rPr>
          <w:rFonts w:cs="Arial"/>
        </w:rPr>
        <w:t xml:space="preserve">A </w:t>
      </w:r>
      <w:r w:rsidR="00833E58">
        <w:rPr>
          <w:rFonts w:cs="Arial"/>
        </w:rPr>
        <w:t>high-needs</w:t>
      </w:r>
      <w:r w:rsidRPr="00264768">
        <w:rPr>
          <w:rFonts w:cs="Arial"/>
        </w:rPr>
        <w:t xml:space="preserve"> funding floor and gains </w:t>
      </w:r>
      <w:r w:rsidR="00422940" w:rsidRPr="00264768">
        <w:rPr>
          <w:rFonts w:cs="Arial"/>
        </w:rPr>
        <w:t>calculation.</w:t>
      </w:r>
    </w:p>
    <w:p w14:paraId="252472BA" w14:textId="77777777" w:rsidR="000A13C3" w:rsidRPr="00264768" w:rsidRDefault="00147B55" w:rsidP="000A13C3">
      <w:pPr>
        <w:numPr>
          <w:ilvl w:val="0"/>
          <w:numId w:val="3"/>
        </w:numPr>
        <w:jc w:val="both"/>
        <w:rPr>
          <w:rFonts w:cs="Arial"/>
        </w:rPr>
      </w:pPr>
      <w:r w:rsidRPr="00264768">
        <w:rPr>
          <w:rFonts w:cs="Arial"/>
        </w:rPr>
        <w:t xml:space="preserve">Basic entitlement factor (with area cost adjusted) for the number of pupils in special schools and </w:t>
      </w:r>
      <w:r w:rsidR="00422940" w:rsidRPr="00264768">
        <w:rPr>
          <w:rFonts w:cs="Arial"/>
        </w:rPr>
        <w:t>academies.</w:t>
      </w:r>
      <w:r w:rsidRPr="00264768">
        <w:rPr>
          <w:rFonts w:cs="Arial"/>
        </w:rPr>
        <w:tab/>
      </w:r>
    </w:p>
    <w:p w14:paraId="02521F12" w14:textId="77777777" w:rsidR="000A13C3" w:rsidRPr="00264768" w:rsidRDefault="00147B55" w:rsidP="000A13C3">
      <w:pPr>
        <w:numPr>
          <w:ilvl w:val="0"/>
          <w:numId w:val="3"/>
        </w:numPr>
        <w:jc w:val="both"/>
        <w:rPr>
          <w:rFonts w:cs="Arial"/>
        </w:rPr>
      </w:pPr>
      <w:r w:rsidRPr="00264768">
        <w:rPr>
          <w:rFonts w:cs="Arial"/>
        </w:rPr>
        <w:t xml:space="preserve">Import/export </w:t>
      </w:r>
      <w:r w:rsidR="00422940" w:rsidRPr="00264768">
        <w:rPr>
          <w:rFonts w:cs="Arial"/>
        </w:rPr>
        <w:t>adjustment.</w:t>
      </w:r>
    </w:p>
    <w:p w14:paraId="237E97D2" w14:textId="77777777" w:rsidR="000A13C3" w:rsidRPr="00264768" w:rsidRDefault="00147B55" w:rsidP="000A13C3">
      <w:pPr>
        <w:numPr>
          <w:ilvl w:val="0"/>
          <w:numId w:val="3"/>
        </w:numPr>
        <w:jc w:val="both"/>
        <w:rPr>
          <w:rFonts w:cs="Arial"/>
        </w:rPr>
      </w:pPr>
      <w:r w:rsidRPr="00264768">
        <w:rPr>
          <w:rFonts w:cs="Arial"/>
        </w:rPr>
        <w:t xml:space="preserve">Additional Funding for Special Free </w:t>
      </w:r>
      <w:r w:rsidR="00422940" w:rsidRPr="00264768">
        <w:rPr>
          <w:rFonts w:cs="Arial"/>
        </w:rPr>
        <w:t>Schools.</w:t>
      </w:r>
      <w:r w:rsidRPr="00264768">
        <w:rPr>
          <w:rFonts w:cs="Arial"/>
        </w:rPr>
        <w:t xml:space="preserve"> </w:t>
      </w:r>
      <w:r w:rsidRPr="00264768">
        <w:rPr>
          <w:rFonts w:cs="Arial"/>
        </w:rPr>
        <w:tab/>
      </w:r>
    </w:p>
    <w:p w14:paraId="4A931DCF" w14:textId="77777777" w:rsidR="000A13C3" w:rsidRPr="00264768" w:rsidRDefault="00147B55" w:rsidP="000A13C3">
      <w:pPr>
        <w:numPr>
          <w:ilvl w:val="0"/>
          <w:numId w:val="3"/>
        </w:numPr>
        <w:jc w:val="both"/>
        <w:rPr>
          <w:rFonts w:eastAsia="Calibri" w:cs="Arial"/>
          <w:b/>
          <w:bCs/>
          <w:color w:val="000000"/>
          <w:lang w:eastAsia="en-US"/>
        </w:rPr>
      </w:pPr>
      <w:r w:rsidRPr="00264768">
        <w:rPr>
          <w:rFonts w:cs="Arial"/>
        </w:rPr>
        <w:t xml:space="preserve">Hospital education, Alternative Provision </w:t>
      </w:r>
      <w:r w:rsidR="00422940" w:rsidRPr="00264768">
        <w:rPr>
          <w:rFonts w:cs="Arial"/>
        </w:rPr>
        <w:t>teachers'</w:t>
      </w:r>
      <w:r w:rsidRPr="00264768">
        <w:rPr>
          <w:rFonts w:cs="Arial"/>
        </w:rPr>
        <w:t xml:space="preserve"> pay/pension and supplementary funding factor.</w:t>
      </w:r>
      <w:r w:rsidRPr="00264768">
        <w:rPr>
          <w:rFonts w:eastAsia="Calibri" w:cs="Arial"/>
          <w:b/>
          <w:bCs/>
          <w:color w:val="000000"/>
          <w:lang w:eastAsia="en-US"/>
        </w:rPr>
        <w:tab/>
      </w:r>
    </w:p>
    <w:p w14:paraId="08EB5E1D" w14:textId="77777777" w:rsidR="00CC21C6" w:rsidRPr="00264768" w:rsidRDefault="00CC21C6" w:rsidP="00CC21C6">
      <w:pPr>
        <w:jc w:val="both"/>
        <w:rPr>
          <w:rFonts w:eastAsia="Calibri" w:cs="Arial"/>
          <w:b/>
          <w:bCs/>
          <w:color w:val="000000"/>
          <w:lang w:eastAsia="en-US"/>
        </w:rPr>
      </w:pPr>
    </w:p>
    <w:p w14:paraId="48863A7A" w14:textId="77777777" w:rsidR="00173581" w:rsidRPr="00264768" w:rsidRDefault="00147B55" w:rsidP="00CC21C6">
      <w:pPr>
        <w:jc w:val="both"/>
        <w:rPr>
          <w:rFonts w:eastAsia="Calibri" w:cs="Arial"/>
          <w:color w:val="000000"/>
          <w:lang w:eastAsia="en-US"/>
        </w:rPr>
      </w:pPr>
      <w:r w:rsidRPr="00264768">
        <w:rPr>
          <w:rFonts w:eastAsia="Calibri" w:cs="Arial"/>
          <w:color w:val="000000"/>
          <w:lang w:eastAsia="en-US"/>
        </w:rPr>
        <w:t xml:space="preserve">We have received </w:t>
      </w:r>
      <w:r w:rsidR="00422940" w:rsidRPr="00264768">
        <w:rPr>
          <w:rFonts w:eastAsia="Calibri" w:cs="Arial"/>
          <w:color w:val="000000"/>
          <w:lang w:eastAsia="en-US"/>
        </w:rPr>
        <w:t>additional</w:t>
      </w:r>
      <w:r w:rsidRPr="00264768">
        <w:rPr>
          <w:rFonts w:eastAsia="Calibri" w:cs="Arial"/>
          <w:color w:val="000000"/>
          <w:lang w:eastAsia="en-US"/>
        </w:rPr>
        <w:t xml:space="preserve"> High Needs Funding for </w:t>
      </w:r>
      <w:r w:rsidR="00264768">
        <w:rPr>
          <w:rFonts w:eastAsia="Calibri" w:cs="Arial"/>
          <w:color w:val="000000"/>
          <w:lang w:eastAsia="en-US"/>
        </w:rPr>
        <w:t>20</w:t>
      </w:r>
      <w:r w:rsidRPr="00264768">
        <w:rPr>
          <w:rFonts w:eastAsia="Calibri" w:cs="Arial"/>
          <w:color w:val="000000"/>
          <w:lang w:eastAsia="en-US"/>
        </w:rPr>
        <w:t>23/24 following the Autumn 22 Statement. Nationally</w:t>
      </w:r>
      <w:r w:rsidR="008224D9" w:rsidRPr="00264768">
        <w:rPr>
          <w:rFonts w:eastAsia="Calibri" w:cs="Arial"/>
          <w:color w:val="000000"/>
          <w:lang w:eastAsia="en-US"/>
        </w:rPr>
        <w:t>,</w:t>
      </w:r>
      <w:r w:rsidRPr="00264768">
        <w:rPr>
          <w:rFonts w:eastAsia="Calibri" w:cs="Arial"/>
          <w:color w:val="000000"/>
          <w:lang w:eastAsia="en-US"/>
        </w:rPr>
        <w:t xml:space="preserve"> this is a total of </w:t>
      </w:r>
      <w:r w:rsidR="00B96079" w:rsidRPr="00264768">
        <w:rPr>
          <w:rFonts w:eastAsia="Calibri" w:cs="Arial"/>
          <w:color w:val="000000"/>
          <w:lang w:eastAsia="en-US"/>
        </w:rPr>
        <w:t>£</w:t>
      </w:r>
      <w:r w:rsidR="00833E58">
        <w:rPr>
          <w:rFonts w:eastAsia="Calibri" w:cs="Arial"/>
          <w:color w:val="000000"/>
          <w:lang w:eastAsia="en-US"/>
        </w:rPr>
        <w:t>400m</w:t>
      </w:r>
      <w:r w:rsidR="00B96079" w:rsidRPr="00264768">
        <w:rPr>
          <w:rFonts w:eastAsia="Calibri" w:cs="Arial"/>
          <w:color w:val="000000"/>
          <w:lang w:eastAsia="en-US"/>
        </w:rPr>
        <w:t xml:space="preserve"> and </w:t>
      </w:r>
      <w:r w:rsidR="00422940" w:rsidRPr="00264768">
        <w:rPr>
          <w:rFonts w:eastAsia="Calibri" w:cs="Arial"/>
          <w:color w:val="000000"/>
          <w:lang w:eastAsia="en-US"/>
        </w:rPr>
        <w:t>Lancashire's</w:t>
      </w:r>
      <w:r w:rsidR="00B96079" w:rsidRPr="00264768">
        <w:rPr>
          <w:rFonts w:eastAsia="Calibri" w:cs="Arial"/>
          <w:color w:val="000000"/>
          <w:lang w:eastAsia="en-US"/>
        </w:rPr>
        <w:t xml:space="preserve"> additional High Needs Funding totals £</w:t>
      </w:r>
      <w:r w:rsidR="00833E58">
        <w:rPr>
          <w:rFonts w:eastAsia="Calibri" w:cs="Arial"/>
          <w:color w:val="000000"/>
          <w:lang w:eastAsia="en-US"/>
        </w:rPr>
        <w:t>8m</w:t>
      </w:r>
      <w:r w:rsidR="00B96079" w:rsidRPr="00264768">
        <w:rPr>
          <w:rFonts w:eastAsia="Calibri" w:cs="Arial"/>
          <w:color w:val="000000"/>
          <w:lang w:eastAsia="en-US"/>
        </w:rPr>
        <w:t xml:space="preserve">. This is applied as a 4.6% increase to the funding floor and </w:t>
      </w:r>
      <w:r w:rsidR="00833E58">
        <w:rPr>
          <w:rFonts w:eastAsia="Calibri" w:cs="Arial"/>
          <w:color w:val="000000"/>
          <w:lang w:eastAsia="en-US"/>
        </w:rPr>
        <w:t xml:space="preserve">a </w:t>
      </w:r>
      <w:r w:rsidR="00B96079" w:rsidRPr="00264768">
        <w:rPr>
          <w:rFonts w:eastAsia="Calibri" w:cs="Arial"/>
          <w:color w:val="000000"/>
          <w:lang w:eastAsia="en-US"/>
        </w:rPr>
        <w:t xml:space="preserve">proxy </w:t>
      </w:r>
      <w:r w:rsidR="00B96079" w:rsidRPr="00264768">
        <w:rPr>
          <w:rFonts w:eastAsia="Calibri" w:cs="Arial"/>
          <w:color w:val="000000"/>
          <w:lang w:eastAsia="en-US"/>
        </w:rPr>
        <w:lastRenderedPageBreak/>
        <w:t xml:space="preserve">factor in the </w:t>
      </w:r>
      <w:r w:rsidR="00833E58">
        <w:rPr>
          <w:rFonts w:eastAsia="Calibri" w:cs="Arial"/>
          <w:color w:val="000000"/>
          <w:lang w:eastAsia="en-US"/>
        </w:rPr>
        <w:t>high-needs</w:t>
      </w:r>
      <w:r w:rsidR="00B96079" w:rsidRPr="00264768">
        <w:rPr>
          <w:rFonts w:eastAsia="Calibri" w:cs="Arial"/>
          <w:color w:val="000000"/>
          <w:lang w:eastAsia="en-US"/>
        </w:rPr>
        <w:t xml:space="preserve"> NFF allocations.</w:t>
      </w:r>
      <w:r w:rsidR="002E5BC0" w:rsidRPr="00264768">
        <w:rPr>
          <w:rFonts w:eastAsia="Calibri" w:cs="Arial"/>
          <w:color w:val="000000"/>
          <w:lang w:eastAsia="en-US"/>
        </w:rPr>
        <w:t xml:space="preserve"> This has </w:t>
      </w:r>
      <w:r w:rsidR="00833E58">
        <w:rPr>
          <w:rFonts w:eastAsia="Calibri" w:cs="Arial"/>
          <w:color w:val="000000"/>
          <w:lang w:eastAsia="en-US"/>
        </w:rPr>
        <w:t>been</w:t>
      </w:r>
      <w:r w:rsidR="002E5BC0" w:rsidRPr="00264768">
        <w:rPr>
          <w:rFonts w:eastAsia="Calibri" w:cs="Arial"/>
          <w:color w:val="000000"/>
          <w:lang w:eastAsia="en-US"/>
        </w:rPr>
        <w:t xml:space="preserve"> included in our total baseline allocation</w:t>
      </w:r>
      <w:r w:rsidR="00F1779A">
        <w:rPr>
          <w:rFonts w:eastAsia="Calibri" w:cs="Arial"/>
          <w:color w:val="000000"/>
          <w:lang w:eastAsia="en-US"/>
        </w:rPr>
        <w:t>.</w:t>
      </w:r>
    </w:p>
    <w:p w14:paraId="607E4025" w14:textId="77777777" w:rsidR="009D01B4" w:rsidRPr="00264768" w:rsidRDefault="009D01B4" w:rsidP="000A13C3">
      <w:pPr>
        <w:jc w:val="both"/>
        <w:rPr>
          <w:rFonts w:cs="Arial"/>
        </w:rPr>
      </w:pPr>
    </w:p>
    <w:p w14:paraId="666FC5DF" w14:textId="77777777" w:rsidR="000A13C3" w:rsidRPr="00264768" w:rsidRDefault="00147B55" w:rsidP="000A13C3">
      <w:pPr>
        <w:jc w:val="both"/>
        <w:rPr>
          <w:rFonts w:cs="Arial"/>
          <w:lang w:val="en"/>
        </w:rPr>
      </w:pPr>
      <w:r w:rsidRPr="00264768">
        <w:rPr>
          <w:rFonts w:cs="Arial"/>
          <w:lang w:val="en"/>
        </w:rPr>
        <w:t xml:space="preserve">The formula </w:t>
      </w:r>
      <w:r w:rsidR="00AC61AA" w:rsidRPr="00264768">
        <w:rPr>
          <w:rFonts w:cs="Arial"/>
          <w:lang w:val="en"/>
        </w:rPr>
        <w:t xml:space="preserve">breakdown above and the additional High Needs funding </w:t>
      </w:r>
      <w:r w:rsidR="00833E58">
        <w:rPr>
          <w:rFonts w:cs="Arial"/>
          <w:lang w:val="en"/>
        </w:rPr>
        <w:t>provide</w:t>
      </w:r>
      <w:r w:rsidRPr="00264768">
        <w:rPr>
          <w:rFonts w:cs="Arial"/>
          <w:lang w:val="en"/>
        </w:rPr>
        <w:t xml:space="preserve"> a 2023/24 High Needs Block allocation for Lancashire of £</w:t>
      </w:r>
      <w:r w:rsidR="00F1779A">
        <w:rPr>
          <w:rFonts w:cs="Arial"/>
          <w:lang w:val="en"/>
        </w:rPr>
        <w:t>193m.</w:t>
      </w:r>
    </w:p>
    <w:p w14:paraId="6906F492" w14:textId="77777777" w:rsidR="000A13C3" w:rsidRPr="00264768" w:rsidRDefault="000A13C3" w:rsidP="000A13C3">
      <w:pPr>
        <w:jc w:val="both"/>
        <w:rPr>
          <w:rFonts w:cs="Arial"/>
          <w:lang w:val="en"/>
        </w:rPr>
      </w:pPr>
    </w:p>
    <w:p w14:paraId="4AE168D8" w14:textId="77777777" w:rsidR="000A13C3" w:rsidRPr="00264768" w:rsidRDefault="00147B55" w:rsidP="000A13C3">
      <w:pPr>
        <w:jc w:val="both"/>
        <w:rPr>
          <w:rFonts w:cs="Arial"/>
          <w:lang w:val="en"/>
        </w:rPr>
      </w:pPr>
      <w:r w:rsidRPr="00264768">
        <w:rPr>
          <w:rFonts w:cs="Arial"/>
          <w:lang w:val="en"/>
        </w:rPr>
        <w:t>This figure is over £</w:t>
      </w:r>
      <w:r w:rsidR="00AC61AA" w:rsidRPr="00264768">
        <w:rPr>
          <w:rFonts w:cs="Arial"/>
          <w:lang w:val="en"/>
        </w:rPr>
        <w:t>20</w:t>
      </w:r>
      <w:r w:rsidRPr="00264768">
        <w:rPr>
          <w:rFonts w:cs="Arial"/>
          <w:lang w:val="en"/>
        </w:rPr>
        <w:t>m higher than the equivalent 2022/23 allocation, due to increased funding for the High Needs Block made available by the Government.</w:t>
      </w:r>
    </w:p>
    <w:p w14:paraId="447FFE36" w14:textId="77777777" w:rsidR="00E539FE" w:rsidRPr="00264768" w:rsidRDefault="00E539FE" w:rsidP="000A13C3">
      <w:pPr>
        <w:jc w:val="both"/>
        <w:rPr>
          <w:rFonts w:cs="Arial"/>
          <w:lang w:val="en"/>
        </w:rPr>
      </w:pPr>
    </w:p>
    <w:p w14:paraId="7D482BFD" w14:textId="67534C81" w:rsidR="00F77625" w:rsidRDefault="00147B55" w:rsidP="000A13C3">
      <w:pPr>
        <w:jc w:val="both"/>
        <w:rPr>
          <w:rFonts w:cs="Arial"/>
          <w:lang w:val="en"/>
        </w:rPr>
      </w:pPr>
      <w:r w:rsidRPr="00264768">
        <w:rPr>
          <w:rFonts w:cs="Arial"/>
          <w:lang w:val="en"/>
        </w:rPr>
        <w:t>A breakdown of the increase compared to 2</w:t>
      </w:r>
      <w:r w:rsidR="00833E58">
        <w:rPr>
          <w:rFonts w:cs="Arial"/>
          <w:lang w:val="en"/>
        </w:rPr>
        <w:t>02</w:t>
      </w:r>
      <w:r w:rsidRPr="00264768">
        <w:rPr>
          <w:rFonts w:cs="Arial"/>
          <w:lang w:val="en"/>
        </w:rPr>
        <w:t xml:space="preserve">2/23 </w:t>
      </w:r>
      <w:r>
        <w:rPr>
          <w:rFonts w:cs="Arial"/>
          <w:lang w:val="en"/>
        </w:rPr>
        <w:t>i</w:t>
      </w:r>
      <w:r w:rsidRPr="00264768">
        <w:rPr>
          <w:rFonts w:cs="Arial"/>
          <w:lang w:val="en"/>
        </w:rPr>
        <w:t xml:space="preserve">s </w:t>
      </w:r>
      <w:r w:rsidR="00833E58">
        <w:rPr>
          <w:rFonts w:cs="Arial"/>
          <w:lang w:val="en"/>
        </w:rPr>
        <w:t>shown</w:t>
      </w:r>
      <w:r w:rsidRPr="00264768">
        <w:rPr>
          <w:rFonts w:cs="Arial"/>
          <w:lang w:val="en"/>
        </w:rPr>
        <w:t xml:space="preserve"> in the table below:</w:t>
      </w:r>
    </w:p>
    <w:p w14:paraId="01AADC9E" w14:textId="12DE4529" w:rsidR="00147B55" w:rsidRDefault="00147B55" w:rsidP="000A13C3">
      <w:pPr>
        <w:jc w:val="both"/>
        <w:rPr>
          <w:rFonts w:cs="Arial"/>
          <w:lang w:val="en"/>
        </w:rPr>
      </w:pPr>
    </w:p>
    <w:tbl>
      <w:tblPr>
        <w:tblStyle w:val="TableGrid"/>
        <w:tblW w:w="0" w:type="auto"/>
        <w:tblLook w:val="04A0" w:firstRow="1" w:lastRow="0" w:firstColumn="1" w:lastColumn="0" w:noHBand="0" w:noVBand="1"/>
      </w:tblPr>
      <w:tblGrid>
        <w:gridCol w:w="4580"/>
        <w:gridCol w:w="1180"/>
        <w:gridCol w:w="960"/>
      </w:tblGrid>
      <w:tr w:rsidR="00147B55" w:rsidRPr="00147B55" w14:paraId="07D201F1" w14:textId="77777777" w:rsidTr="00147B55">
        <w:trPr>
          <w:trHeight w:val="288"/>
        </w:trPr>
        <w:tc>
          <w:tcPr>
            <w:tcW w:w="4580" w:type="dxa"/>
            <w:hideMark/>
          </w:tcPr>
          <w:p w14:paraId="122D3E4B" w14:textId="77777777" w:rsidR="00147B55" w:rsidRPr="00147B55" w:rsidRDefault="00147B55" w:rsidP="00147B55">
            <w:pPr>
              <w:jc w:val="both"/>
              <w:rPr>
                <w:rFonts w:ascii="Arial" w:hAnsi="Arial" w:cs="Arial"/>
                <w:sz w:val="24"/>
              </w:rPr>
            </w:pPr>
          </w:p>
        </w:tc>
        <w:tc>
          <w:tcPr>
            <w:tcW w:w="1180" w:type="dxa"/>
            <w:noWrap/>
            <w:hideMark/>
          </w:tcPr>
          <w:p w14:paraId="6CBB74D9" w14:textId="77777777" w:rsidR="00147B55" w:rsidRPr="00147B55" w:rsidRDefault="00147B55" w:rsidP="00147B55">
            <w:pPr>
              <w:jc w:val="both"/>
              <w:rPr>
                <w:rFonts w:ascii="Arial" w:hAnsi="Arial" w:cs="Arial"/>
                <w:b/>
                <w:bCs/>
                <w:sz w:val="24"/>
              </w:rPr>
            </w:pPr>
            <w:r w:rsidRPr="00147B55">
              <w:rPr>
                <w:rFonts w:ascii="Arial" w:hAnsi="Arial" w:cs="Arial"/>
                <w:b/>
                <w:bCs/>
                <w:sz w:val="24"/>
              </w:rPr>
              <w:t>23/24</w:t>
            </w:r>
          </w:p>
        </w:tc>
        <w:tc>
          <w:tcPr>
            <w:tcW w:w="960" w:type="dxa"/>
            <w:noWrap/>
            <w:hideMark/>
          </w:tcPr>
          <w:p w14:paraId="6E7E8C1C" w14:textId="77777777" w:rsidR="00147B55" w:rsidRPr="00147B55" w:rsidRDefault="00147B55" w:rsidP="00147B55">
            <w:pPr>
              <w:jc w:val="both"/>
              <w:rPr>
                <w:rFonts w:ascii="Arial" w:hAnsi="Arial" w:cs="Arial"/>
                <w:b/>
                <w:bCs/>
                <w:sz w:val="24"/>
              </w:rPr>
            </w:pPr>
            <w:r w:rsidRPr="00147B55">
              <w:rPr>
                <w:rFonts w:ascii="Arial" w:hAnsi="Arial" w:cs="Arial"/>
                <w:b/>
                <w:bCs/>
                <w:sz w:val="24"/>
              </w:rPr>
              <w:t>22/23</w:t>
            </w:r>
          </w:p>
        </w:tc>
      </w:tr>
      <w:tr w:rsidR="00147B55" w:rsidRPr="00147B55" w14:paraId="399B5406" w14:textId="77777777" w:rsidTr="00147B55">
        <w:trPr>
          <w:trHeight w:val="288"/>
        </w:trPr>
        <w:tc>
          <w:tcPr>
            <w:tcW w:w="4580" w:type="dxa"/>
            <w:hideMark/>
          </w:tcPr>
          <w:p w14:paraId="1EA12018" w14:textId="77777777" w:rsidR="00147B55" w:rsidRPr="00147B55" w:rsidRDefault="00147B55" w:rsidP="00147B55">
            <w:pPr>
              <w:jc w:val="both"/>
              <w:rPr>
                <w:rFonts w:ascii="Arial" w:hAnsi="Arial" w:cs="Arial"/>
                <w:sz w:val="24"/>
              </w:rPr>
            </w:pPr>
            <w:r w:rsidRPr="00147B55">
              <w:rPr>
                <w:rFonts w:ascii="Arial" w:hAnsi="Arial" w:cs="Arial"/>
                <w:sz w:val="24"/>
              </w:rPr>
              <w:t>High needs DSG block (£m)</w:t>
            </w:r>
          </w:p>
        </w:tc>
        <w:tc>
          <w:tcPr>
            <w:tcW w:w="1180" w:type="dxa"/>
            <w:noWrap/>
            <w:hideMark/>
          </w:tcPr>
          <w:p w14:paraId="2658EC45" w14:textId="77777777" w:rsidR="00147B55" w:rsidRPr="00147B55" w:rsidRDefault="00147B55" w:rsidP="00147B55">
            <w:pPr>
              <w:jc w:val="both"/>
              <w:rPr>
                <w:rFonts w:ascii="Arial" w:hAnsi="Arial" w:cs="Arial"/>
                <w:sz w:val="24"/>
              </w:rPr>
            </w:pPr>
            <w:r w:rsidRPr="00147B55">
              <w:rPr>
                <w:rFonts w:ascii="Arial" w:hAnsi="Arial" w:cs="Arial"/>
                <w:sz w:val="24"/>
              </w:rPr>
              <w:t>185</w:t>
            </w:r>
          </w:p>
        </w:tc>
        <w:tc>
          <w:tcPr>
            <w:tcW w:w="960" w:type="dxa"/>
            <w:noWrap/>
            <w:hideMark/>
          </w:tcPr>
          <w:p w14:paraId="3C6CEBB5" w14:textId="77777777" w:rsidR="00147B55" w:rsidRPr="00147B55" w:rsidRDefault="00147B55" w:rsidP="00147B55">
            <w:pPr>
              <w:jc w:val="both"/>
              <w:rPr>
                <w:rFonts w:ascii="Arial" w:hAnsi="Arial" w:cs="Arial"/>
                <w:sz w:val="24"/>
              </w:rPr>
            </w:pPr>
            <w:r w:rsidRPr="00147B55">
              <w:rPr>
                <w:rFonts w:ascii="Arial" w:hAnsi="Arial" w:cs="Arial"/>
                <w:sz w:val="24"/>
              </w:rPr>
              <w:t>173</w:t>
            </w:r>
          </w:p>
        </w:tc>
      </w:tr>
      <w:tr w:rsidR="00147B55" w:rsidRPr="00147B55" w14:paraId="33797949" w14:textId="77777777" w:rsidTr="00147B55">
        <w:trPr>
          <w:trHeight w:val="288"/>
        </w:trPr>
        <w:tc>
          <w:tcPr>
            <w:tcW w:w="4580" w:type="dxa"/>
            <w:hideMark/>
          </w:tcPr>
          <w:p w14:paraId="16F338C8" w14:textId="77777777" w:rsidR="00147B55" w:rsidRPr="00147B55" w:rsidRDefault="00147B55" w:rsidP="00147B55">
            <w:pPr>
              <w:jc w:val="both"/>
              <w:rPr>
                <w:rFonts w:ascii="Arial" w:hAnsi="Arial" w:cs="Arial"/>
                <w:sz w:val="24"/>
              </w:rPr>
            </w:pPr>
            <w:r w:rsidRPr="00147B55">
              <w:rPr>
                <w:rFonts w:ascii="Arial" w:hAnsi="Arial" w:cs="Arial"/>
                <w:sz w:val="24"/>
              </w:rPr>
              <w:t>High needs additional DSG funding (£m)</w:t>
            </w:r>
          </w:p>
        </w:tc>
        <w:tc>
          <w:tcPr>
            <w:tcW w:w="1180" w:type="dxa"/>
            <w:noWrap/>
            <w:hideMark/>
          </w:tcPr>
          <w:p w14:paraId="0BD618E4" w14:textId="77777777" w:rsidR="00147B55" w:rsidRPr="00147B55" w:rsidRDefault="00147B55" w:rsidP="00147B55">
            <w:pPr>
              <w:jc w:val="both"/>
              <w:rPr>
                <w:rFonts w:ascii="Arial" w:hAnsi="Arial" w:cs="Arial"/>
                <w:sz w:val="24"/>
              </w:rPr>
            </w:pPr>
            <w:r w:rsidRPr="00147B55">
              <w:rPr>
                <w:rFonts w:ascii="Arial" w:hAnsi="Arial" w:cs="Arial"/>
                <w:sz w:val="24"/>
              </w:rPr>
              <w:t>8</w:t>
            </w:r>
          </w:p>
        </w:tc>
        <w:tc>
          <w:tcPr>
            <w:tcW w:w="960" w:type="dxa"/>
            <w:noWrap/>
            <w:hideMark/>
          </w:tcPr>
          <w:p w14:paraId="2F859A34" w14:textId="77777777" w:rsidR="00147B55" w:rsidRPr="00147B55" w:rsidRDefault="00147B55" w:rsidP="00147B55">
            <w:pPr>
              <w:jc w:val="both"/>
              <w:rPr>
                <w:rFonts w:ascii="Arial" w:hAnsi="Arial" w:cs="Arial"/>
                <w:sz w:val="24"/>
              </w:rPr>
            </w:pPr>
            <w:r w:rsidRPr="00147B55">
              <w:rPr>
                <w:rFonts w:ascii="Arial" w:hAnsi="Arial" w:cs="Arial"/>
                <w:sz w:val="24"/>
              </w:rPr>
              <w:t>0</w:t>
            </w:r>
          </w:p>
        </w:tc>
      </w:tr>
      <w:tr w:rsidR="00147B55" w:rsidRPr="00147B55" w14:paraId="2232FA5A" w14:textId="77777777" w:rsidTr="00147B55">
        <w:trPr>
          <w:trHeight w:val="288"/>
        </w:trPr>
        <w:tc>
          <w:tcPr>
            <w:tcW w:w="4580" w:type="dxa"/>
            <w:hideMark/>
          </w:tcPr>
          <w:p w14:paraId="562EA86E" w14:textId="77777777" w:rsidR="00147B55" w:rsidRPr="00147B55" w:rsidRDefault="00147B55" w:rsidP="00147B55">
            <w:pPr>
              <w:jc w:val="both"/>
              <w:rPr>
                <w:rFonts w:ascii="Arial" w:hAnsi="Arial" w:cs="Arial"/>
                <w:b/>
                <w:bCs/>
                <w:sz w:val="24"/>
              </w:rPr>
            </w:pPr>
            <w:r w:rsidRPr="00147B55">
              <w:rPr>
                <w:rFonts w:ascii="Arial" w:hAnsi="Arial" w:cs="Arial"/>
                <w:b/>
                <w:bCs/>
                <w:sz w:val="24"/>
              </w:rPr>
              <w:t>Total High Needs DSG funding (£m)</w:t>
            </w:r>
          </w:p>
        </w:tc>
        <w:tc>
          <w:tcPr>
            <w:tcW w:w="1180" w:type="dxa"/>
            <w:noWrap/>
            <w:hideMark/>
          </w:tcPr>
          <w:p w14:paraId="570065AB" w14:textId="77777777" w:rsidR="00147B55" w:rsidRPr="00147B55" w:rsidRDefault="00147B55" w:rsidP="00147B55">
            <w:pPr>
              <w:jc w:val="both"/>
              <w:rPr>
                <w:rFonts w:ascii="Arial" w:hAnsi="Arial" w:cs="Arial"/>
                <w:b/>
                <w:bCs/>
                <w:sz w:val="24"/>
              </w:rPr>
            </w:pPr>
            <w:r w:rsidRPr="00147B55">
              <w:rPr>
                <w:rFonts w:ascii="Arial" w:hAnsi="Arial" w:cs="Arial"/>
                <w:b/>
                <w:bCs/>
                <w:sz w:val="24"/>
              </w:rPr>
              <w:t>193</w:t>
            </w:r>
          </w:p>
        </w:tc>
        <w:tc>
          <w:tcPr>
            <w:tcW w:w="960" w:type="dxa"/>
            <w:noWrap/>
            <w:hideMark/>
          </w:tcPr>
          <w:p w14:paraId="45492591" w14:textId="77777777" w:rsidR="00147B55" w:rsidRPr="00147B55" w:rsidRDefault="00147B55" w:rsidP="00147B55">
            <w:pPr>
              <w:jc w:val="both"/>
              <w:rPr>
                <w:rFonts w:ascii="Arial" w:hAnsi="Arial" w:cs="Arial"/>
                <w:b/>
                <w:bCs/>
                <w:sz w:val="24"/>
              </w:rPr>
            </w:pPr>
            <w:r w:rsidRPr="00147B55">
              <w:rPr>
                <w:rFonts w:ascii="Arial" w:hAnsi="Arial" w:cs="Arial"/>
                <w:b/>
                <w:bCs/>
                <w:sz w:val="24"/>
              </w:rPr>
              <w:t>173</w:t>
            </w:r>
          </w:p>
        </w:tc>
      </w:tr>
      <w:tr w:rsidR="00147B55" w:rsidRPr="00147B55" w14:paraId="0A16917D" w14:textId="77777777" w:rsidTr="00147B55">
        <w:trPr>
          <w:trHeight w:val="288"/>
        </w:trPr>
        <w:tc>
          <w:tcPr>
            <w:tcW w:w="4580" w:type="dxa"/>
            <w:hideMark/>
          </w:tcPr>
          <w:p w14:paraId="18BB1DE6" w14:textId="77777777" w:rsidR="00147B55" w:rsidRPr="00147B55" w:rsidRDefault="00147B55" w:rsidP="00147B55">
            <w:pPr>
              <w:jc w:val="both"/>
              <w:rPr>
                <w:rFonts w:ascii="Arial" w:hAnsi="Arial" w:cs="Arial"/>
                <w:b/>
                <w:bCs/>
                <w:sz w:val="24"/>
              </w:rPr>
            </w:pPr>
          </w:p>
        </w:tc>
        <w:tc>
          <w:tcPr>
            <w:tcW w:w="1180" w:type="dxa"/>
            <w:noWrap/>
            <w:hideMark/>
          </w:tcPr>
          <w:p w14:paraId="5D76B3CE" w14:textId="77777777" w:rsidR="00147B55" w:rsidRPr="00147B55" w:rsidRDefault="00147B55" w:rsidP="00147B55">
            <w:pPr>
              <w:jc w:val="both"/>
              <w:rPr>
                <w:rFonts w:ascii="Arial" w:hAnsi="Arial" w:cs="Arial"/>
                <w:sz w:val="24"/>
              </w:rPr>
            </w:pPr>
          </w:p>
        </w:tc>
        <w:tc>
          <w:tcPr>
            <w:tcW w:w="960" w:type="dxa"/>
            <w:noWrap/>
            <w:hideMark/>
          </w:tcPr>
          <w:p w14:paraId="2DDCC8F8" w14:textId="77777777" w:rsidR="00147B55" w:rsidRPr="00147B55" w:rsidRDefault="00147B55" w:rsidP="00147B55">
            <w:pPr>
              <w:jc w:val="both"/>
              <w:rPr>
                <w:rFonts w:ascii="Arial" w:hAnsi="Arial" w:cs="Arial"/>
                <w:sz w:val="24"/>
              </w:rPr>
            </w:pPr>
          </w:p>
        </w:tc>
      </w:tr>
      <w:tr w:rsidR="00147B55" w:rsidRPr="00147B55" w14:paraId="359ADC90" w14:textId="77777777" w:rsidTr="00147B55">
        <w:trPr>
          <w:trHeight w:val="576"/>
        </w:trPr>
        <w:tc>
          <w:tcPr>
            <w:tcW w:w="4580" w:type="dxa"/>
            <w:hideMark/>
          </w:tcPr>
          <w:p w14:paraId="1ED80F27" w14:textId="77777777" w:rsidR="00147B55" w:rsidRPr="00147B55" w:rsidRDefault="00147B55" w:rsidP="00147B55">
            <w:pPr>
              <w:jc w:val="both"/>
              <w:rPr>
                <w:rFonts w:ascii="Arial" w:hAnsi="Arial" w:cs="Arial"/>
                <w:i/>
                <w:iCs/>
                <w:sz w:val="24"/>
              </w:rPr>
            </w:pPr>
            <w:r w:rsidRPr="00147B55">
              <w:rPr>
                <w:rFonts w:ascii="Arial" w:hAnsi="Arial" w:cs="Arial"/>
                <w:i/>
                <w:iCs/>
                <w:sz w:val="24"/>
              </w:rPr>
              <w:t xml:space="preserve">Increase in high needs DSG funding from 2022-23 to 2023-24 (£m) </w:t>
            </w:r>
          </w:p>
        </w:tc>
        <w:tc>
          <w:tcPr>
            <w:tcW w:w="1180" w:type="dxa"/>
            <w:noWrap/>
            <w:hideMark/>
          </w:tcPr>
          <w:p w14:paraId="61C9FB1F" w14:textId="77777777" w:rsidR="00147B55" w:rsidRPr="00147B55" w:rsidRDefault="00147B55" w:rsidP="00147B55">
            <w:pPr>
              <w:jc w:val="both"/>
              <w:rPr>
                <w:rFonts w:ascii="Arial" w:hAnsi="Arial" w:cs="Arial"/>
                <w:i/>
                <w:iCs/>
                <w:sz w:val="24"/>
              </w:rPr>
            </w:pPr>
            <w:r w:rsidRPr="00147B55">
              <w:rPr>
                <w:rFonts w:ascii="Arial" w:hAnsi="Arial" w:cs="Arial"/>
                <w:i/>
                <w:iCs/>
                <w:sz w:val="24"/>
              </w:rPr>
              <w:t>20</w:t>
            </w:r>
          </w:p>
        </w:tc>
        <w:tc>
          <w:tcPr>
            <w:tcW w:w="960" w:type="dxa"/>
            <w:noWrap/>
            <w:hideMark/>
          </w:tcPr>
          <w:p w14:paraId="1CB3B7B2" w14:textId="77777777" w:rsidR="00147B55" w:rsidRPr="00147B55" w:rsidRDefault="00147B55" w:rsidP="00147B55">
            <w:pPr>
              <w:jc w:val="both"/>
              <w:rPr>
                <w:rFonts w:ascii="Arial" w:hAnsi="Arial" w:cs="Arial"/>
                <w:i/>
                <w:iCs/>
                <w:sz w:val="24"/>
              </w:rPr>
            </w:pPr>
          </w:p>
        </w:tc>
      </w:tr>
      <w:tr w:rsidR="00147B55" w:rsidRPr="00147B55" w14:paraId="065CAF1A" w14:textId="77777777" w:rsidTr="00147B55">
        <w:trPr>
          <w:trHeight w:val="576"/>
        </w:trPr>
        <w:tc>
          <w:tcPr>
            <w:tcW w:w="4580" w:type="dxa"/>
            <w:hideMark/>
          </w:tcPr>
          <w:p w14:paraId="110C634C" w14:textId="77777777" w:rsidR="00147B55" w:rsidRPr="00147B55" w:rsidRDefault="00147B55" w:rsidP="00147B55">
            <w:pPr>
              <w:jc w:val="both"/>
              <w:rPr>
                <w:rFonts w:ascii="Arial" w:hAnsi="Arial" w:cs="Arial"/>
                <w:i/>
                <w:iCs/>
                <w:sz w:val="24"/>
              </w:rPr>
            </w:pPr>
            <w:r w:rsidRPr="00147B55">
              <w:rPr>
                <w:rFonts w:ascii="Arial" w:hAnsi="Arial" w:cs="Arial"/>
                <w:i/>
                <w:iCs/>
                <w:sz w:val="24"/>
              </w:rPr>
              <w:t xml:space="preserve">Increase in high needs funding from 2022-23 to 2023-24 (%) </w:t>
            </w:r>
          </w:p>
        </w:tc>
        <w:tc>
          <w:tcPr>
            <w:tcW w:w="1180" w:type="dxa"/>
            <w:noWrap/>
            <w:hideMark/>
          </w:tcPr>
          <w:p w14:paraId="234A0C10" w14:textId="77777777" w:rsidR="00147B55" w:rsidRPr="00147B55" w:rsidRDefault="00147B55" w:rsidP="00147B55">
            <w:pPr>
              <w:jc w:val="both"/>
              <w:rPr>
                <w:rFonts w:ascii="Arial" w:hAnsi="Arial" w:cs="Arial"/>
                <w:i/>
                <w:iCs/>
                <w:sz w:val="24"/>
              </w:rPr>
            </w:pPr>
            <w:r w:rsidRPr="00147B55">
              <w:rPr>
                <w:rFonts w:ascii="Arial" w:hAnsi="Arial" w:cs="Arial"/>
                <w:i/>
                <w:iCs/>
                <w:sz w:val="24"/>
              </w:rPr>
              <w:t>10.4%</w:t>
            </w:r>
          </w:p>
        </w:tc>
        <w:tc>
          <w:tcPr>
            <w:tcW w:w="960" w:type="dxa"/>
            <w:noWrap/>
            <w:hideMark/>
          </w:tcPr>
          <w:p w14:paraId="6ABD9727" w14:textId="77777777" w:rsidR="00147B55" w:rsidRPr="00147B55" w:rsidRDefault="00147B55" w:rsidP="00147B55">
            <w:pPr>
              <w:jc w:val="both"/>
              <w:rPr>
                <w:rFonts w:ascii="Arial" w:hAnsi="Arial" w:cs="Arial"/>
                <w:i/>
                <w:iCs/>
                <w:sz w:val="24"/>
              </w:rPr>
            </w:pPr>
          </w:p>
        </w:tc>
      </w:tr>
    </w:tbl>
    <w:p w14:paraId="740FEC5E" w14:textId="77777777" w:rsidR="00147B55" w:rsidRPr="00264768" w:rsidRDefault="00147B55" w:rsidP="000A13C3">
      <w:pPr>
        <w:jc w:val="both"/>
        <w:rPr>
          <w:rFonts w:cs="Arial"/>
          <w:lang w:val="en"/>
        </w:rPr>
      </w:pPr>
    </w:p>
    <w:p w14:paraId="0FDF5AA8" w14:textId="77777777" w:rsidR="000A13C3" w:rsidRPr="00264768" w:rsidRDefault="00147B55" w:rsidP="000A13C3">
      <w:pPr>
        <w:jc w:val="both"/>
        <w:rPr>
          <w:rFonts w:cs="Arial"/>
        </w:rPr>
      </w:pPr>
      <w:r w:rsidRPr="00264768">
        <w:rPr>
          <w:rFonts w:cs="Arial"/>
        </w:rPr>
        <w:t xml:space="preserve">It should be noted that the High Needs Block allocation is </w:t>
      </w:r>
      <w:r w:rsidR="00833E58">
        <w:rPr>
          <w:rFonts w:cs="Arial"/>
        </w:rPr>
        <w:t>provisional</w:t>
      </w:r>
      <w:r w:rsidR="00422940" w:rsidRPr="00264768">
        <w:rPr>
          <w:rFonts w:cs="Arial"/>
        </w:rPr>
        <w:t>,</w:t>
      </w:r>
      <w:r w:rsidRPr="00264768">
        <w:rPr>
          <w:rFonts w:cs="Arial"/>
        </w:rPr>
        <w:t xml:space="preserve"> and the gross total </w:t>
      </w:r>
      <w:r w:rsidR="00936C83" w:rsidRPr="00264768">
        <w:rPr>
          <w:rFonts w:cs="Arial"/>
        </w:rPr>
        <w:t xml:space="preserve">above </w:t>
      </w:r>
      <w:r w:rsidRPr="00264768">
        <w:rPr>
          <w:rFonts w:cs="Arial"/>
        </w:rPr>
        <w:t xml:space="preserve">includes allocations attributable to funded places that will be deducted and made directly by the Education </w:t>
      </w:r>
      <w:r w:rsidR="00F1779A">
        <w:rPr>
          <w:rFonts w:cs="Arial"/>
        </w:rPr>
        <w:t>and</w:t>
      </w:r>
      <w:r w:rsidRPr="00264768">
        <w:rPr>
          <w:rFonts w:cs="Arial"/>
        </w:rPr>
        <w:t xml:space="preserve"> Skills Funding Agency. These are estimated by Education &amp; Skills Funding Agency to total circa £</w:t>
      </w:r>
      <w:r w:rsidR="00661F94" w:rsidRPr="00264768">
        <w:rPr>
          <w:rFonts w:cs="Arial"/>
        </w:rPr>
        <w:t>9.3</w:t>
      </w:r>
      <w:r w:rsidR="00E55FF8">
        <w:rPr>
          <w:rFonts w:cs="Arial"/>
        </w:rPr>
        <w:t xml:space="preserve"> </w:t>
      </w:r>
      <w:r w:rsidR="00661F94" w:rsidRPr="00264768">
        <w:rPr>
          <w:rFonts w:cs="Arial"/>
        </w:rPr>
        <w:t>millio</w:t>
      </w:r>
      <w:r w:rsidR="00E55FF8">
        <w:rPr>
          <w:rFonts w:cs="Arial"/>
        </w:rPr>
        <w:t>n.</w:t>
      </w:r>
    </w:p>
    <w:p w14:paraId="06A58BEB" w14:textId="77777777" w:rsidR="00661F94" w:rsidRPr="00264768" w:rsidRDefault="00661F94" w:rsidP="000A13C3">
      <w:pPr>
        <w:jc w:val="both"/>
        <w:rPr>
          <w:rFonts w:cs="Arial"/>
          <w:b/>
        </w:rPr>
      </w:pPr>
    </w:p>
    <w:p w14:paraId="17F56248" w14:textId="77777777" w:rsidR="00661F94" w:rsidRPr="00264768" w:rsidRDefault="00147B55" w:rsidP="000A13C3">
      <w:pPr>
        <w:jc w:val="both"/>
        <w:rPr>
          <w:rFonts w:cs="Arial"/>
          <w:b/>
          <w:color w:val="000000"/>
          <w:u w:val="single"/>
        </w:rPr>
      </w:pPr>
      <w:r w:rsidRPr="00264768">
        <w:rPr>
          <w:rFonts w:cs="Arial"/>
          <w:b/>
          <w:color w:val="000000"/>
          <w:u w:val="single"/>
        </w:rPr>
        <w:t xml:space="preserve">Early Years Block Allocation </w:t>
      </w:r>
      <w:r w:rsidR="00E55FF8">
        <w:rPr>
          <w:rFonts w:cs="Arial"/>
          <w:b/>
          <w:color w:val="000000"/>
          <w:u w:val="single"/>
        </w:rPr>
        <w:t>– (</w:t>
      </w:r>
      <w:r w:rsidRPr="00264768">
        <w:rPr>
          <w:rFonts w:cs="Arial"/>
          <w:b/>
          <w:color w:val="000000"/>
          <w:u w:val="single"/>
        </w:rPr>
        <w:t>£87.64m</w:t>
      </w:r>
      <w:r w:rsidR="00E55FF8">
        <w:rPr>
          <w:rFonts w:cs="Arial"/>
          <w:b/>
          <w:color w:val="000000"/>
          <w:u w:val="single"/>
        </w:rPr>
        <w:t>)</w:t>
      </w:r>
    </w:p>
    <w:p w14:paraId="3BC82891" w14:textId="77777777" w:rsidR="000A13C3" w:rsidRPr="00264768" w:rsidRDefault="00147B55" w:rsidP="000A13C3">
      <w:pPr>
        <w:jc w:val="both"/>
        <w:rPr>
          <w:rFonts w:cs="Arial"/>
        </w:rPr>
      </w:pPr>
      <w:r w:rsidRPr="00264768">
        <w:rPr>
          <w:rFonts w:cs="Arial"/>
        </w:rPr>
        <w:t>Allocations for the Early Years Block include:</w:t>
      </w:r>
    </w:p>
    <w:p w14:paraId="08C9164D" w14:textId="77777777" w:rsidR="000A13C3" w:rsidRPr="00264768" w:rsidRDefault="000A13C3" w:rsidP="000A13C3">
      <w:pPr>
        <w:jc w:val="both"/>
        <w:rPr>
          <w:rFonts w:cs="Arial"/>
        </w:rPr>
      </w:pPr>
    </w:p>
    <w:p w14:paraId="2569305C" w14:textId="77777777" w:rsidR="000A13C3" w:rsidRPr="00264768" w:rsidRDefault="00147B55" w:rsidP="000A13C3">
      <w:pPr>
        <w:numPr>
          <w:ilvl w:val="0"/>
          <w:numId w:val="2"/>
        </w:numPr>
        <w:contextualSpacing/>
        <w:jc w:val="both"/>
        <w:rPr>
          <w:rFonts w:cs="Arial"/>
        </w:rPr>
      </w:pPr>
      <w:r w:rsidRPr="00264768">
        <w:rPr>
          <w:rFonts w:cs="Arial"/>
        </w:rPr>
        <w:t xml:space="preserve">funding for the universal 15 hours entitlement for </w:t>
      </w:r>
      <w:r w:rsidR="00422940" w:rsidRPr="00264768">
        <w:rPr>
          <w:rFonts w:cs="Arial"/>
        </w:rPr>
        <w:t xml:space="preserve">three- and </w:t>
      </w:r>
      <w:r w:rsidR="00833E58">
        <w:rPr>
          <w:rFonts w:cs="Arial"/>
        </w:rPr>
        <w:t>four-year-olds</w:t>
      </w:r>
      <w:r w:rsidR="00422940" w:rsidRPr="00264768">
        <w:rPr>
          <w:rFonts w:cs="Arial"/>
        </w:rPr>
        <w:t>.</w:t>
      </w:r>
    </w:p>
    <w:p w14:paraId="4F710F97" w14:textId="77777777" w:rsidR="000A13C3" w:rsidRPr="00264768" w:rsidRDefault="00147B55" w:rsidP="000A13C3">
      <w:pPr>
        <w:numPr>
          <w:ilvl w:val="0"/>
          <w:numId w:val="2"/>
        </w:numPr>
        <w:contextualSpacing/>
        <w:jc w:val="both"/>
        <w:rPr>
          <w:rFonts w:cs="Arial"/>
        </w:rPr>
      </w:pPr>
      <w:r w:rsidRPr="00264768">
        <w:rPr>
          <w:rFonts w:cs="Arial"/>
        </w:rPr>
        <w:t xml:space="preserve">funding for the additional 15 hours entitlement for </w:t>
      </w:r>
      <w:r w:rsidR="00422940" w:rsidRPr="00264768">
        <w:rPr>
          <w:rFonts w:cs="Arial"/>
        </w:rPr>
        <w:t>three- and four-year-old</w:t>
      </w:r>
      <w:r w:rsidRPr="00264768">
        <w:rPr>
          <w:rFonts w:cs="Arial"/>
        </w:rPr>
        <w:t xml:space="preserve"> children of eligible working </w:t>
      </w:r>
      <w:r w:rsidR="00422940" w:rsidRPr="00264768">
        <w:rPr>
          <w:rFonts w:cs="Arial"/>
        </w:rPr>
        <w:t>parents.</w:t>
      </w:r>
    </w:p>
    <w:p w14:paraId="3F6FE959" w14:textId="77777777" w:rsidR="000A13C3" w:rsidRPr="00264768" w:rsidRDefault="00147B55" w:rsidP="000A13C3">
      <w:pPr>
        <w:numPr>
          <w:ilvl w:val="0"/>
          <w:numId w:val="2"/>
        </w:numPr>
        <w:contextualSpacing/>
        <w:jc w:val="both"/>
        <w:rPr>
          <w:rFonts w:cs="Arial"/>
        </w:rPr>
      </w:pPr>
      <w:r w:rsidRPr="00264768">
        <w:rPr>
          <w:rFonts w:cs="Arial"/>
        </w:rPr>
        <w:t xml:space="preserve">funding for the 15 hours entitlement for disadvantaged </w:t>
      </w:r>
      <w:r w:rsidR="00833E58">
        <w:rPr>
          <w:rFonts w:cs="Arial"/>
        </w:rPr>
        <w:t>two-year-olds</w:t>
      </w:r>
      <w:r w:rsidR="00422940" w:rsidRPr="00264768">
        <w:rPr>
          <w:rFonts w:cs="Arial"/>
        </w:rPr>
        <w:t>.</w:t>
      </w:r>
    </w:p>
    <w:p w14:paraId="4357DED6" w14:textId="77777777" w:rsidR="000A13C3" w:rsidRPr="00264768" w:rsidRDefault="00147B55" w:rsidP="000A13C3">
      <w:pPr>
        <w:numPr>
          <w:ilvl w:val="0"/>
          <w:numId w:val="2"/>
        </w:numPr>
        <w:contextualSpacing/>
        <w:jc w:val="both"/>
        <w:rPr>
          <w:rFonts w:cs="Arial"/>
        </w:rPr>
      </w:pPr>
      <w:r w:rsidRPr="00264768">
        <w:rPr>
          <w:rFonts w:cs="Arial"/>
        </w:rPr>
        <w:t xml:space="preserve">funding for the Early Years Pupil </w:t>
      </w:r>
      <w:r w:rsidR="00422940" w:rsidRPr="00264768">
        <w:rPr>
          <w:rFonts w:cs="Arial"/>
        </w:rPr>
        <w:t>Premium.</w:t>
      </w:r>
    </w:p>
    <w:p w14:paraId="1D0C99FA" w14:textId="77777777" w:rsidR="000A13C3" w:rsidRPr="00264768" w:rsidRDefault="00147B55" w:rsidP="000A13C3">
      <w:pPr>
        <w:numPr>
          <w:ilvl w:val="0"/>
          <w:numId w:val="2"/>
        </w:numPr>
        <w:contextualSpacing/>
        <w:jc w:val="both"/>
        <w:rPr>
          <w:rFonts w:cs="Arial"/>
        </w:rPr>
      </w:pPr>
      <w:r w:rsidRPr="00264768">
        <w:rPr>
          <w:rFonts w:cs="Arial"/>
        </w:rPr>
        <w:t xml:space="preserve">funding for the Disability Access </w:t>
      </w:r>
      <w:r w:rsidR="00422940" w:rsidRPr="00264768">
        <w:rPr>
          <w:rFonts w:cs="Arial"/>
        </w:rPr>
        <w:t>Fund.</w:t>
      </w:r>
    </w:p>
    <w:p w14:paraId="077BC452" w14:textId="77777777" w:rsidR="000A13C3" w:rsidRPr="00264768" w:rsidRDefault="00147B55" w:rsidP="000A13C3">
      <w:pPr>
        <w:numPr>
          <w:ilvl w:val="0"/>
          <w:numId w:val="2"/>
        </w:numPr>
        <w:contextualSpacing/>
        <w:jc w:val="both"/>
        <w:rPr>
          <w:rFonts w:cs="Arial"/>
        </w:rPr>
      </w:pPr>
      <w:r w:rsidRPr="00264768">
        <w:rPr>
          <w:rFonts w:cs="Arial"/>
        </w:rPr>
        <w:t>supplementary funding for Maintained Nursery Schools.</w:t>
      </w:r>
    </w:p>
    <w:p w14:paraId="32272F9E" w14:textId="77777777" w:rsidR="000A13C3" w:rsidRPr="00264768" w:rsidRDefault="000A13C3" w:rsidP="000A13C3">
      <w:pPr>
        <w:jc w:val="both"/>
        <w:rPr>
          <w:rFonts w:cs="Arial"/>
        </w:rPr>
      </w:pPr>
    </w:p>
    <w:p w14:paraId="245A9239" w14:textId="77777777" w:rsidR="000A13C3" w:rsidRPr="00264768" w:rsidRDefault="00147B55" w:rsidP="000A13C3">
      <w:pPr>
        <w:jc w:val="both"/>
        <w:rPr>
          <w:rFonts w:cs="Arial"/>
        </w:rPr>
      </w:pPr>
      <w:r w:rsidRPr="00264768">
        <w:rPr>
          <w:rFonts w:cs="Arial"/>
        </w:rPr>
        <w:t>The allocations are calculated on a formulaic basis</w:t>
      </w:r>
      <w:r w:rsidR="00F1779A">
        <w:rPr>
          <w:rFonts w:cs="Arial"/>
        </w:rPr>
        <w:t>.</w:t>
      </w:r>
    </w:p>
    <w:p w14:paraId="41A855AC" w14:textId="77777777" w:rsidR="00220A08" w:rsidRPr="00264768" w:rsidRDefault="00220A08" w:rsidP="000A13C3">
      <w:pPr>
        <w:jc w:val="both"/>
        <w:rPr>
          <w:rFonts w:cs="Arial"/>
        </w:rPr>
      </w:pPr>
    </w:p>
    <w:p w14:paraId="71EB6D77" w14:textId="77777777" w:rsidR="0027438E" w:rsidRPr="00264768" w:rsidRDefault="00147B55" w:rsidP="000A13C3">
      <w:pPr>
        <w:jc w:val="both"/>
        <w:rPr>
          <w:rFonts w:cs="Arial"/>
        </w:rPr>
      </w:pPr>
      <w:r w:rsidRPr="00264768">
        <w:rPr>
          <w:rFonts w:cs="Arial"/>
        </w:rPr>
        <w:t xml:space="preserve">As part of the </w:t>
      </w:r>
      <w:r w:rsidR="00612C4E" w:rsidRPr="00264768">
        <w:rPr>
          <w:rFonts w:cs="Arial"/>
        </w:rPr>
        <w:t>Autumn</w:t>
      </w:r>
      <w:r w:rsidRPr="00264768">
        <w:rPr>
          <w:rFonts w:cs="Arial"/>
        </w:rPr>
        <w:t xml:space="preserve"> Statement and the </w:t>
      </w:r>
      <w:r w:rsidR="00612C4E" w:rsidRPr="00264768">
        <w:rPr>
          <w:rFonts w:cs="Arial"/>
        </w:rPr>
        <w:t>Early</w:t>
      </w:r>
      <w:r w:rsidRPr="00264768">
        <w:rPr>
          <w:rFonts w:cs="Arial"/>
        </w:rPr>
        <w:t xml:space="preserve"> Years </w:t>
      </w:r>
      <w:r w:rsidR="00612C4E" w:rsidRPr="00264768">
        <w:rPr>
          <w:rFonts w:cs="Arial"/>
        </w:rPr>
        <w:t>consultation</w:t>
      </w:r>
      <w:r w:rsidRPr="00264768">
        <w:rPr>
          <w:rFonts w:cs="Arial"/>
        </w:rPr>
        <w:t xml:space="preserve"> earlier in the year, the Department for Education </w:t>
      </w:r>
      <w:r w:rsidR="00833E58">
        <w:rPr>
          <w:rFonts w:cs="Arial"/>
        </w:rPr>
        <w:t>is</w:t>
      </w:r>
      <w:r w:rsidR="002075E9" w:rsidRPr="00264768">
        <w:rPr>
          <w:rFonts w:cs="Arial"/>
        </w:rPr>
        <w:t xml:space="preserve"> investing additional funding for the early </w:t>
      </w:r>
      <w:r w:rsidR="00833E58">
        <w:rPr>
          <w:rFonts w:cs="Arial"/>
        </w:rPr>
        <w:t>year</w:t>
      </w:r>
      <w:r w:rsidR="002075E9" w:rsidRPr="00264768">
        <w:rPr>
          <w:rFonts w:cs="Arial"/>
        </w:rPr>
        <w:t xml:space="preserve"> entitlements </w:t>
      </w:r>
      <w:r w:rsidRPr="00264768">
        <w:rPr>
          <w:rFonts w:cs="Arial"/>
        </w:rPr>
        <w:t xml:space="preserve">worth </w:t>
      </w:r>
      <w:r w:rsidR="002075E9" w:rsidRPr="00264768">
        <w:rPr>
          <w:rFonts w:cs="Arial"/>
        </w:rPr>
        <w:t>£180</w:t>
      </w:r>
      <w:r w:rsidR="00F1779A">
        <w:rPr>
          <w:rFonts w:cs="Arial"/>
        </w:rPr>
        <w:t xml:space="preserve"> </w:t>
      </w:r>
      <w:r w:rsidR="002075E9" w:rsidRPr="00264768">
        <w:rPr>
          <w:rFonts w:cs="Arial"/>
        </w:rPr>
        <w:t>m</w:t>
      </w:r>
      <w:r w:rsidR="00F1779A">
        <w:rPr>
          <w:rFonts w:cs="Arial"/>
        </w:rPr>
        <w:t>illion</w:t>
      </w:r>
      <w:r w:rsidR="002075E9" w:rsidRPr="00264768">
        <w:rPr>
          <w:rFonts w:cs="Arial"/>
        </w:rPr>
        <w:t xml:space="preserve"> in 2023</w:t>
      </w:r>
      <w:r w:rsidR="00F1779A">
        <w:rPr>
          <w:rFonts w:cs="Arial"/>
        </w:rPr>
        <w:t>/</w:t>
      </w:r>
      <w:r w:rsidR="002075E9" w:rsidRPr="00264768">
        <w:rPr>
          <w:rFonts w:cs="Arial"/>
        </w:rPr>
        <w:t>24. This is for local authorities to increase hourly rates paid to childcare providers for the government’s childcare entitlement offers and reflects the costs of inflation and national living wage increases</w:t>
      </w:r>
      <w:r w:rsidR="00F1779A">
        <w:rPr>
          <w:rFonts w:cs="Arial"/>
        </w:rPr>
        <w:t>.</w:t>
      </w:r>
    </w:p>
    <w:p w14:paraId="6FD36118" w14:textId="77777777" w:rsidR="003D75FC" w:rsidRDefault="003D75FC" w:rsidP="000A13C3">
      <w:pPr>
        <w:jc w:val="both"/>
        <w:rPr>
          <w:rFonts w:cs="Arial"/>
        </w:rPr>
      </w:pPr>
    </w:p>
    <w:p w14:paraId="1B40C118" w14:textId="77777777" w:rsidR="00F1779A" w:rsidRDefault="00F1779A" w:rsidP="000A13C3">
      <w:pPr>
        <w:jc w:val="both"/>
        <w:rPr>
          <w:rFonts w:cs="Arial"/>
        </w:rPr>
      </w:pPr>
    </w:p>
    <w:p w14:paraId="1E3C7470" w14:textId="77777777" w:rsidR="00E740C8" w:rsidRDefault="00E740C8" w:rsidP="000A13C3">
      <w:pPr>
        <w:jc w:val="both"/>
        <w:rPr>
          <w:rFonts w:cs="Arial"/>
        </w:rPr>
      </w:pPr>
    </w:p>
    <w:p w14:paraId="104BA171" w14:textId="77777777" w:rsidR="00E740C8" w:rsidRDefault="00E740C8" w:rsidP="000A13C3">
      <w:pPr>
        <w:jc w:val="both"/>
        <w:rPr>
          <w:rFonts w:cs="Arial"/>
        </w:rPr>
      </w:pPr>
    </w:p>
    <w:p w14:paraId="407D1ABB" w14:textId="77777777" w:rsidR="00E740C8" w:rsidRDefault="00E740C8" w:rsidP="000A13C3">
      <w:pPr>
        <w:jc w:val="both"/>
        <w:rPr>
          <w:rFonts w:cs="Arial"/>
        </w:rPr>
      </w:pPr>
    </w:p>
    <w:p w14:paraId="6F777FDD" w14:textId="77777777" w:rsidR="000A13C3" w:rsidRPr="00264768" w:rsidRDefault="00147B55" w:rsidP="000A13C3">
      <w:pPr>
        <w:jc w:val="both"/>
        <w:rPr>
          <w:rFonts w:cs="Arial"/>
        </w:rPr>
      </w:pPr>
      <w:r w:rsidRPr="00264768">
        <w:rPr>
          <w:rFonts w:cs="Arial"/>
        </w:rPr>
        <w:lastRenderedPageBreak/>
        <w:t>This additional funding translates into increased allocations to Lancashire as follows</w:t>
      </w:r>
      <w:r w:rsidR="00237921" w:rsidRPr="00264768">
        <w:rPr>
          <w:rFonts w:cs="Arial"/>
        </w:rPr>
        <w:t>:</w:t>
      </w:r>
    </w:p>
    <w:p w14:paraId="56714442" w14:textId="77777777" w:rsidR="000A13C3" w:rsidRPr="00264768" w:rsidRDefault="000A13C3" w:rsidP="000A13C3">
      <w:pPr>
        <w:jc w:val="both"/>
        <w:rPr>
          <w:rFonts w:cs="Arial"/>
        </w:rPr>
      </w:pPr>
    </w:p>
    <w:tbl>
      <w:tblPr>
        <w:tblStyle w:val="TableGrid"/>
        <w:tblW w:w="0" w:type="auto"/>
        <w:tblLook w:val="04A0" w:firstRow="1" w:lastRow="0" w:firstColumn="1" w:lastColumn="0" w:noHBand="0" w:noVBand="1"/>
      </w:tblPr>
      <w:tblGrid>
        <w:gridCol w:w="3980"/>
        <w:gridCol w:w="1740"/>
        <w:gridCol w:w="980"/>
        <w:gridCol w:w="1060"/>
        <w:gridCol w:w="1191"/>
      </w:tblGrid>
      <w:tr w:rsidR="00CE2685" w14:paraId="0E08C32C" w14:textId="77777777" w:rsidTr="00743412">
        <w:trPr>
          <w:trHeight w:val="576"/>
        </w:trPr>
        <w:tc>
          <w:tcPr>
            <w:tcW w:w="3980" w:type="dxa"/>
            <w:hideMark/>
          </w:tcPr>
          <w:p w14:paraId="5254854C" w14:textId="77777777" w:rsidR="00743412" w:rsidRPr="00E740C8" w:rsidRDefault="00147B55" w:rsidP="00743412">
            <w:pPr>
              <w:jc w:val="both"/>
              <w:rPr>
                <w:rFonts w:ascii="Arial" w:hAnsi="Arial" w:cs="Arial"/>
                <w:b/>
                <w:bCs/>
                <w:sz w:val="24"/>
              </w:rPr>
            </w:pPr>
            <w:r w:rsidRPr="00E740C8">
              <w:rPr>
                <w:rFonts w:ascii="Arial" w:hAnsi="Arial" w:cs="Arial"/>
                <w:b/>
                <w:bCs/>
                <w:sz w:val="24"/>
              </w:rPr>
              <w:t>Funding</w:t>
            </w:r>
          </w:p>
        </w:tc>
        <w:tc>
          <w:tcPr>
            <w:tcW w:w="1740" w:type="dxa"/>
            <w:hideMark/>
          </w:tcPr>
          <w:p w14:paraId="0F8A8EFA" w14:textId="77777777" w:rsidR="00743412" w:rsidRPr="00E740C8" w:rsidRDefault="00147B55" w:rsidP="00743412">
            <w:pPr>
              <w:jc w:val="both"/>
              <w:rPr>
                <w:rFonts w:ascii="Arial" w:hAnsi="Arial" w:cs="Arial"/>
                <w:b/>
                <w:bCs/>
                <w:sz w:val="24"/>
              </w:rPr>
            </w:pPr>
            <w:r w:rsidRPr="00E740C8">
              <w:rPr>
                <w:rFonts w:ascii="Arial" w:hAnsi="Arial" w:cs="Arial"/>
                <w:b/>
                <w:bCs/>
                <w:sz w:val="24"/>
              </w:rPr>
              <w:t>Uplift Basis</w:t>
            </w:r>
          </w:p>
        </w:tc>
        <w:tc>
          <w:tcPr>
            <w:tcW w:w="980" w:type="dxa"/>
            <w:hideMark/>
          </w:tcPr>
          <w:p w14:paraId="519BC28B" w14:textId="77777777" w:rsidR="00743412" w:rsidRPr="00E740C8" w:rsidRDefault="00147B55" w:rsidP="00743412">
            <w:pPr>
              <w:jc w:val="both"/>
              <w:rPr>
                <w:rFonts w:ascii="Arial" w:hAnsi="Arial" w:cs="Arial"/>
                <w:b/>
                <w:bCs/>
                <w:sz w:val="24"/>
              </w:rPr>
            </w:pPr>
            <w:r w:rsidRPr="00E740C8">
              <w:rPr>
                <w:rFonts w:ascii="Arial" w:hAnsi="Arial" w:cs="Arial"/>
                <w:b/>
                <w:bCs/>
                <w:sz w:val="24"/>
              </w:rPr>
              <w:t>22/23 Rate</w:t>
            </w:r>
          </w:p>
        </w:tc>
        <w:tc>
          <w:tcPr>
            <w:tcW w:w="1060" w:type="dxa"/>
            <w:hideMark/>
          </w:tcPr>
          <w:p w14:paraId="5F833166" w14:textId="77777777" w:rsidR="00743412" w:rsidRPr="00E740C8" w:rsidRDefault="00147B55" w:rsidP="00743412">
            <w:pPr>
              <w:jc w:val="both"/>
              <w:rPr>
                <w:rFonts w:ascii="Arial" w:hAnsi="Arial" w:cs="Arial"/>
                <w:b/>
                <w:bCs/>
                <w:sz w:val="24"/>
              </w:rPr>
            </w:pPr>
            <w:r w:rsidRPr="00E740C8">
              <w:rPr>
                <w:rFonts w:ascii="Arial" w:hAnsi="Arial" w:cs="Arial"/>
                <w:b/>
                <w:bCs/>
                <w:sz w:val="24"/>
              </w:rPr>
              <w:t>23/24 Rate</w:t>
            </w:r>
          </w:p>
        </w:tc>
        <w:tc>
          <w:tcPr>
            <w:tcW w:w="1120" w:type="dxa"/>
            <w:hideMark/>
          </w:tcPr>
          <w:p w14:paraId="470B0D44" w14:textId="77777777" w:rsidR="00743412" w:rsidRPr="00E740C8" w:rsidRDefault="00147B55" w:rsidP="00743412">
            <w:pPr>
              <w:jc w:val="both"/>
              <w:rPr>
                <w:rFonts w:ascii="Arial" w:hAnsi="Arial" w:cs="Arial"/>
                <w:b/>
                <w:bCs/>
                <w:sz w:val="24"/>
              </w:rPr>
            </w:pPr>
            <w:r w:rsidRPr="00E740C8">
              <w:rPr>
                <w:rFonts w:ascii="Arial" w:hAnsi="Arial" w:cs="Arial"/>
                <w:b/>
                <w:bCs/>
                <w:sz w:val="24"/>
              </w:rPr>
              <w:t>Increase (£)</w:t>
            </w:r>
          </w:p>
        </w:tc>
      </w:tr>
      <w:tr w:rsidR="00CE2685" w14:paraId="05739953" w14:textId="77777777" w:rsidTr="00743412">
        <w:trPr>
          <w:trHeight w:val="288"/>
        </w:trPr>
        <w:tc>
          <w:tcPr>
            <w:tcW w:w="3980" w:type="dxa"/>
            <w:noWrap/>
            <w:hideMark/>
          </w:tcPr>
          <w:p w14:paraId="01341DD2" w14:textId="77777777" w:rsidR="00743412" w:rsidRPr="00E740C8" w:rsidRDefault="00147B55" w:rsidP="00743412">
            <w:pPr>
              <w:jc w:val="both"/>
              <w:rPr>
                <w:rFonts w:ascii="Arial" w:hAnsi="Arial" w:cs="Arial"/>
                <w:sz w:val="24"/>
              </w:rPr>
            </w:pPr>
            <w:r w:rsidRPr="00E740C8">
              <w:rPr>
                <w:rFonts w:ascii="Arial" w:hAnsi="Arial" w:cs="Arial"/>
                <w:sz w:val="24"/>
              </w:rPr>
              <w:t xml:space="preserve">3 and 4-year-old entitlements </w:t>
            </w:r>
          </w:p>
        </w:tc>
        <w:tc>
          <w:tcPr>
            <w:tcW w:w="1740" w:type="dxa"/>
            <w:noWrap/>
            <w:hideMark/>
          </w:tcPr>
          <w:p w14:paraId="4768A28F" w14:textId="77777777" w:rsidR="00743412" w:rsidRPr="00E740C8" w:rsidRDefault="00147B55" w:rsidP="00743412">
            <w:pPr>
              <w:jc w:val="both"/>
              <w:rPr>
                <w:rFonts w:ascii="Arial" w:hAnsi="Arial" w:cs="Arial"/>
                <w:sz w:val="24"/>
              </w:rPr>
            </w:pPr>
            <w:r w:rsidRPr="00E740C8">
              <w:rPr>
                <w:rFonts w:ascii="Arial" w:hAnsi="Arial" w:cs="Arial"/>
                <w:sz w:val="24"/>
              </w:rPr>
              <w:t>Per Hour</w:t>
            </w:r>
          </w:p>
        </w:tc>
        <w:tc>
          <w:tcPr>
            <w:tcW w:w="980" w:type="dxa"/>
            <w:noWrap/>
            <w:hideMark/>
          </w:tcPr>
          <w:p w14:paraId="1431144E" w14:textId="77777777" w:rsidR="00743412" w:rsidRPr="00E740C8" w:rsidRDefault="00147B55" w:rsidP="00743412">
            <w:pPr>
              <w:jc w:val="both"/>
              <w:rPr>
                <w:rFonts w:ascii="Arial" w:hAnsi="Arial" w:cs="Arial"/>
                <w:sz w:val="24"/>
              </w:rPr>
            </w:pPr>
            <w:r w:rsidRPr="00E740C8">
              <w:rPr>
                <w:rFonts w:ascii="Arial" w:hAnsi="Arial" w:cs="Arial"/>
                <w:sz w:val="24"/>
              </w:rPr>
              <w:t>4.6</w:t>
            </w:r>
            <w:r w:rsidR="00FC2ED3" w:rsidRPr="00E740C8">
              <w:rPr>
                <w:rFonts w:ascii="Arial" w:hAnsi="Arial" w:cs="Arial"/>
                <w:sz w:val="24"/>
              </w:rPr>
              <w:t>4</w:t>
            </w:r>
          </w:p>
        </w:tc>
        <w:tc>
          <w:tcPr>
            <w:tcW w:w="1060" w:type="dxa"/>
            <w:noWrap/>
            <w:hideMark/>
          </w:tcPr>
          <w:p w14:paraId="39E4B6CC" w14:textId="77777777" w:rsidR="00743412" w:rsidRPr="00E740C8" w:rsidRDefault="00147B55" w:rsidP="00743412">
            <w:pPr>
              <w:jc w:val="both"/>
              <w:rPr>
                <w:rFonts w:ascii="Arial" w:hAnsi="Arial" w:cs="Arial"/>
                <w:sz w:val="24"/>
              </w:rPr>
            </w:pPr>
            <w:r w:rsidRPr="00E740C8">
              <w:rPr>
                <w:rFonts w:ascii="Arial" w:hAnsi="Arial" w:cs="Arial"/>
                <w:sz w:val="24"/>
              </w:rPr>
              <w:t>4.87</w:t>
            </w:r>
          </w:p>
        </w:tc>
        <w:tc>
          <w:tcPr>
            <w:tcW w:w="1120" w:type="dxa"/>
            <w:noWrap/>
            <w:hideMark/>
          </w:tcPr>
          <w:p w14:paraId="16458E5F" w14:textId="77777777" w:rsidR="00743412" w:rsidRPr="00E740C8" w:rsidRDefault="00147B55" w:rsidP="00743412">
            <w:pPr>
              <w:jc w:val="both"/>
              <w:rPr>
                <w:rFonts w:ascii="Arial" w:hAnsi="Arial" w:cs="Arial"/>
                <w:sz w:val="24"/>
              </w:rPr>
            </w:pPr>
            <w:r w:rsidRPr="00E740C8">
              <w:rPr>
                <w:rFonts w:ascii="Arial" w:hAnsi="Arial" w:cs="Arial"/>
                <w:sz w:val="24"/>
              </w:rPr>
              <w:t>0.2</w:t>
            </w:r>
            <w:r w:rsidR="00FC2ED3" w:rsidRPr="00E740C8">
              <w:rPr>
                <w:rFonts w:ascii="Arial" w:hAnsi="Arial" w:cs="Arial"/>
                <w:sz w:val="24"/>
              </w:rPr>
              <w:t>3</w:t>
            </w:r>
          </w:p>
        </w:tc>
      </w:tr>
      <w:tr w:rsidR="00CE2685" w14:paraId="30E02996" w14:textId="77777777" w:rsidTr="00743412">
        <w:trPr>
          <w:trHeight w:val="288"/>
        </w:trPr>
        <w:tc>
          <w:tcPr>
            <w:tcW w:w="3980" w:type="dxa"/>
            <w:noWrap/>
            <w:hideMark/>
          </w:tcPr>
          <w:p w14:paraId="3ECDAB37" w14:textId="77777777" w:rsidR="00743412" w:rsidRPr="00E740C8" w:rsidRDefault="00147B55" w:rsidP="00743412">
            <w:pPr>
              <w:jc w:val="both"/>
              <w:rPr>
                <w:rFonts w:ascii="Arial" w:hAnsi="Arial" w:cs="Arial"/>
                <w:sz w:val="24"/>
              </w:rPr>
            </w:pPr>
            <w:r w:rsidRPr="00E740C8">
              <w:rPr>
                <w:rFonts w:ascii="Arial" w:hAnsi="Arial" w:cs="Arial"/>
                <w:sz w:val="24"/>
              </w:rPr>
              <w:t xml:space="preserve">2-year-old entitlement </w:t>
            </w:r>
          </w:p>
        </w:tc>
        <w:tc>
          <w:tcPr>
            <w:tcW w:w="1740" w:type="dxa"/>
            <w:noWrap/>
            <w:hideMark/>
          </w:tcPr>
          <w:p w14:paraId="732E414F" w14:textId="77777777" w:rsidR="00743412" w:rsidRPr="00E740C8" w:rsidRDefault="00147B55" w:rsidP="00743412">
            <w:pPr>
              <w:jc w:val="both"/>
              <w:rPr>
                <w:rFonts w:ascii="Arial" w:hAnsi="Arial" w:cs="Arial"/>
                <w:sz w:val="24"/>
              </w:rPr>
            </w:pPr>
            <w:r w:rsidRPr="00E740C8">
              <w:rPr>
                <w:rFonts w:ascii="Arial" w:hAnsi="Arial" w:cs="Arial"/>
                <w:sz w:val="24"/>
              </w:rPr>
              <w:t>Per Hour</w:t>
            </w:r>
          </w:p>
        </w:tc>
        <w:tc>
          <w:tcPr>
            <w:tcW w:w="980" w:type="dxa"/>
            <w:noWrap/>
            <w:hideMark/>
          </w:tcPr>
          <w:p w14:paraId="508C55DB" w14:textId="77777777" w:rsidR="00743412" w:rsidRPr="00E740C8" w:rsidRDefault="00147B55" w:rsidP="00743412">
            <w:pPr>
              <w:jc w:val="both"/>
              <w:rPr>
                <w:rFonts w:ascii="Arial" w:hAnsi="Arial" w:cs="Arial"/>
                <w:sz w:val="24"/>
              </w:rPr>
            </w:pPr>
            <w:r w:rsidRPr="00E740C8">
              <w:rPr>
                <w:rFonts w:ascii="Arial" w:hAnsi="Arial" w:cs="Arial"/>
                <w:sz w:val="24"/>
              </w:rPr>
              <w:t>5.57</w:t>
            </w:r>
          </w:p>
        </w:tc>
        <w:tc>
          <w:tcPr>
            <w:tcW w:w="1060" w:type="dxa"/>
            <w:noWrap/>
            <w:hideMark/>
          </w:tcPr>
          <w:p w14:paraId="32C68A9A" w14:textId="77777777" w:rsidR="00743412" w:rsidRPr="00E740C8" w:rsidRDefault="00147B55" w:rsidP="00743412">
            <w:pPr>
              <w:jc w:val="both"/>
              <w:rPr>
                <w:rFonts w:ascii="Arial" w:hAnsi="Arial" w:cs="Arial"/>
                <w:sz w:val="24"/>
              </w:rPr>
            </w:pPr>
            <w:r w:rsidRPr="00E740C8">
              <w:rPr>
                <w:rFonts w:ascii="Arial" w:hAnsi="Arial" w:cs="Arial"/>
                <w:sz w:val="24"/>
              </w:rPr>
              <w:t>5.63</w:t>
            </w:r>
          </w:p>
        </w:tc>
        <w:tc>
          <w:tcPr>
            <w:tcW w:w="1120" w:type="dxa"/>
            <w:noWrap/>
            <w:hideMark/>
          </w:tcPr>
          <w:p w14:paraId="05BFF9D6" w14:textId="77777777" w:rsidR="00743412" w:rsidRPr="00E740C8" w:rsidRDefault="00147B55" w:rsidP="00743412">
            <w:pPr>
              <w:jc w:val="both"/>
              <w:rPr>
                <w:rFonts w:ascii="Arial" w:hAnsi="Arial" w:cs="Arial"/>
                <w:sz w:val="24"/>
              </w:rPr>
            </w:pPr>
            <w:r w:rsidRPr="00E740C8">
              <w:rPr>
                <w:rFonts w:ascii="Arial" w:hAnsi="Arial" w:cs="Arial"/>
                <w:sz w:val="24"/>
              </w:rPr>
              <w:t>0.06</w:t>
            </w:r>
          </w:p>
        </w:tc>
      </w:tr>
      <w:tr w:rsidR="00CE2685" w14:paraId="441F956D" w14:textId="77777777" w:rsidTr="00743412">
        <w:trPr>
          <w:trHeight w:val="576"/>
        </w:trPr>
        <w:tc>
          <w:tcPr>
            <w:tcW w:w="3980" w:type="dxa"/>
            <w:hideMark/>
          </w:tcPr>
          <w:p w14:paraId="22A824BA" w14:textId="77777777" w:rsidR="00743412" w:rsidRPr="00E740C8" w:rsidRDefault="00147B55" w:rsidP="00743412">
            <w:pPr>
              <w:jc w:val="both"/>
              <w:rPr>
                <w:rFonts w:ascii="Arial" w:hAnsi="Arial" w:cs="Arial"/>
                <w:sz w:val="24"/>
              </w:rPr>
            </w:pPr>
            <w:r w:rsidRPr="00E740C8">
              <w:rPr>
                <w:rFonts w:ascii="Arial" w:hAnsi="Arial" w:cs="Arial"/>
                <w:sz w:val="24"/>
              </w:rPr>
              <w:t xml:space="preserve">Supplementary funding for maintained nursery schools </w:t>
            </w:r>
          </w:p>
        </w:tc>
        <w:tc>
          <w:tcPr>
            <w:tcW w:w="1740" w:type="dxa"/>
            <w:noWrap/>
            <w:hideMark/>
          </w:tcPr>
          <w:p w14:paraId="2795C71E" w14:textId="77777777" w:rsidR="00743412" w:rsidRPr="00E740C8" w:rsidRDefault="00147B55" w:rsidP="00743412">
            <w:pPr>
              <w:jc w:val="both"/>
              <w:rPr>
                <w:rFonts w:ascii="Arial" w:hAnsi="Arial" w:cs="Arial"/>
                <w:sz w:val="24"/>
              </w:rPr>
            </w:pPr>
            <w:r w:rsidRPr="00E740C8">
              <w:rPr>
                <w:rFonts w:ascii="Arial" w:hAnsi="Arial" w:cs="Arial"/>
                <w:sz w:val="24"/>
              </w:rPr>
              <w:t>Per Hour</w:t>
            </w:r>
          </w:p>
        </w:tc>
        <w:tc>
          <w:tcPr>
            <w:tcW w:w="980" w:type="dxa"/>
            <w:noWrap/>
            <w:hideMark/>
          </w:tcPr>
          <w:p w14:paraId="380491AE" w14:textId="77777777" w:rsidR="00743412" w:rsidRPr="00E740C8" w:rsidRDefault="00147B55" w:rsidP="00743412">
            <w:pPr>
              <w:jc w:val="both"/>
              <w:rPr>
                <w:rFonts w:ascii="Arial" w:hAnsi="Arial" w:cs="Arial"/>
                <w:sz w:val="24"/>
              </w:rPr>
            </w:pPr>
            <w:r w:rsidRPr="00E740C8">
              <w:rPr>
                <w:rFonts w:ascii="Arial" w:hAnsi="Arial" w:cs="Arial"/>
                <w:sz w:val="24"/>
              </w:rPr>
              <w:t>3.67</w:t>
            </w:r>
          </w:p>
        </w:tc>
        <w:tc>
          <w:tcPr>
            <w:tcW w:w="1060" w:type="dxa"/>
            <w:noWrap/>
            <w:hideMark/>
          </w:tcPr>
          <w:p w14:paraId="22559A80" w14:textId="77777777" w:rsidR="00743412" w:rsidRPr="00E740C8" w:rsidRDefault="00147B55" w:rsidP="00743412">
            <w:pPr>
              <w:jc w:val="both"/>
              <w:rPr>
                <w:rFonts w:ascii="Arial" w:hAnsi="Arial" w:cs="Arial"/>
                <w:sz w:val="24"/>
              </w:rPr>
            </w:pPr>
            <w:r w:rsidRPr="00E740C8">
              <w:rPr>
                <w:rFonts w:ascii="Arial" w:hAnsi="Arial" w:cs="Arial"/>
                <w:sz w:val="24"/>
              </w:rPr>
              <w:t>4.31</w:t>
            </w:r>
          </w:p>
        </w:tc>
        <w:tc>
          <w:tcPr>
            <w:tcW w:w="1120" w:type="dxa"/>
            <w:noWrap/>
            <w:hideMark/>
          </w:tcPr>
          <w:p w14:paraId="4914F59E" w14:textId="77777777" w:rsidR="00743412" w:rsidRPr="00E740C8" w:rsidRDefault="00147B55" w:rsidP="00743412">
            <w:pPr>
              <w:jc w:val="both"/>
              <w:rPr>
                <w:rFonts w:ascii="Arial" w:hAnsi="Arial" w:cs="Arial"/>
                <w:sz w:val="24"/>
              </w:rPr>
            </w:pPr>
            <w:r w:rsidRPr="00E740C8">
              <w:rPr>
                <w:rFonts w:ascii="Arial" w:hAnsi="Arial" w:cs="Arial"/>
                <w:sz w:val="24"/>
              </w:rPr>
              <w:t>0.</w:t>
            </w:r>
            <w:r w:rsidR="009C0B45" w:rsidRPr="00E740C8">
              <w:rPr>
                <w:rFonts w:ascii="Arial" w:hAnsi="Arial" w:cs="Arial"/>
                <w:sz w:val="24"/>
              </w:rPr>
              <w:t>64</w:t>
            </w:r>
          </w:p>
        </w:tc>
      </w:tr>
      <w:tr w:rsidR="00CE2685" w14:paraId="738E0162" w14:textId="77777777" w:rsidTr="00743412">
        <w:trPr>
          <w:trHeight w:val="288"/>
        </w:trPr>
        <w:tc>
          <w:tcPr>
            <w:tcW w:w="3980" w:type="dxa"/>
            <w:noWrap/>
            <w:hideMark/>
          </w:tcPr>
          <w:p w14:paraId="0AB44713" w14:textId="77777777" w:rsidR="00743412" w:rsidRPr="00E740C8" w:rsidRDefault="00147B55" w:rsidP="00743412">
            <w:pPr>
              <w:jc w:val="both"/>
              <w:rPr>
                <w:rFonts w:ascii="Arial" w:hAnsi="Arial" w:cs="Arial"/>
                <w:sz w:val="24"/>
              </w:rPr>
            </w:pPr>
            <w:r w:rsidRPr="00E740C8">
              <w:rPr>
                <w:rFonts w:ascii="Arial" w:hAnsi="Arial" w:cs="Arial"/>
                <w:sz w:val="24"/>
              </w:rPr>
              <w:t xml:space="preserve">Early Years Pupil Premium </w:t>
            </w:r>
          </w:p>
        </w:tc>
        <w:tc>
          <w:tcPr>
            <w:tcW w:w="1740" w:type="dxa"/>
            <w:noWrap/>
            <w:hideMark/>
          </w:tcPr>
          <w:p w14:paraId="41175A86" w14:textId="77777777" w:rsidR="00743412" w:rsidRPr="00E740C8" w:rsidRDefault="00147B55" w:rsidP="00743412">
            <w:pPr>
              <w:jc w:val="both"/>
              <w:rPr>
                <w:rFonts w:ascii="Arial" w:hAnsi="Arial" w:cs="Arial"/>
                <w:sz w:val="24"/>
              </w:rPr>
            </w:pPr>
            <w:r w:rsidRPr="00E740C8">
              <w:rPr>
                <w:rFonts w:ascii="Arial" w:hAnsi="Arial" w:cs="Arial"/>
                <w:sz w:val="24"/>
              </w:rPr>
              <w:t>Per Hour</w:t>
            </w:r>
          </w:p>
        </w:tc>
        <w:tc>
          <w:tcPr>
            <w:tcW w:w="980" w:type="dxa"/>
            <w:noWrap/>
            <w:hideMark/>
          </w:tcPr>
          <w:p w14:paraId="37F8B07B" w14:textId="77777777" w:rsidR="00743412" w:rsidRPr="00E740C8" w:rsidRDefault="00147B55" w:rsidP="00743412">
            <w:pPr>
              <w:jc w:val="both"/>
              <w:rPr>
                <w:rFonts w:ascii="Arial" w:hAnsi="Arial" w:cs="Arial"/>
                <w:sz w:val="24"/>
              </w:rPr>
            </w:pPr>
            <w:r w:rsidRPr="00E740C8">
              <w:rPr>
                <w:rFonts w:ascii="Arial" w:hAnsi="Arial" w:cs="Arial"/>
                <w:sz w:val="24"/>
              </w:rPr>
              <w:t>0.6</w:t>
            </w:r>
          </w:p>
        </w:tc>
        <w:tc>
          <w:tcPr>
            <w:tcW w:w="1060" w:type="dxa"/>
            <w:noWrap/>
            <w:hideMark/>
          </w:tcPr>
          <w:p w14:paraId="5A972471" w14:textId="77777777" w:rsidR="00743412" w:rsidRPr="00E740C8" w:rsidRDefault="00147B55" w:rsidP="00743412">
            <w:pPr>
              <w:jc w:val="both"/>
              <w:rPr>
                <w:rFonts w:ascii="Arial" w:hAnsi="Arial" w:cs="Arial"/>
                <w:sz w:val="24"/>
              </w:rPr>
            </w:pPr>
            <w:r w:rsidRPr="00E740C8">
              <w:rPr>
                <w:rFonts w:ascii="Arial" w:hAnsi="Arial" w:cs="Arial"/>
                <w:sz w:val="24"/>
              </w:rPr>
              <w:t>0.62</w:t>
            </w:r>
          </w:p>
        </w:tc>
        <w:tc>
          <w:tcPr>
            <w:tcW w:w="1120" w:type="dxa"/>
            <w:noWrap/>
            <w:hideMark/>
          </w:tcPr>
          <w:p w14:paraId="735DE102" w14:textId="77777777" w:rsidR="00743412" w:rsidRPr="00E740C8" w:rsidRDefault="00147B55" w:rsidP="00743412">
            <w:pPr>
              <w:jc w:val="both"/>
              <w:rPr>
                <w:rFonts w:ascii="Arial" w:hAnsi="Arial" w:cs="Arial"/>
                <w:sz w:val="24"/>
              </w:rPr>
            </w:pPr>
            <w:r w:rsidRPr="00E740C8">
              <w:rPr>
                <w:rFonts w:ascii="Arial" w:hAnsi="Arial" w:cs="Arial"/>
                <w:sz w:val="24"/>
              </w:rPr>
              <w:t>0.02</w:t>
            </w:r>
          </w:p>
        </w:tc>
      </w:tr>
      <w:tr w:rsidR="00CE2685" w14:paraId="2D32E928" w14:textId="77777777" w:rsidTr="00743412">
        <w:trPr>
          <w:trHeight w:val="300"/>
        </w:trPr>
        <w:tc>
          <w:tcPr>
            <w:tcW w:w="3980" w:type="dxa"/>
            <w:noWrap/>
            <w:hideMark/>
          </w:tcPr>
          <w:p w14:paraId="29D80FF4" w14:textId="77777777" w:rsidR="00743412" w:rsidRPr="00E740C8" w:rsidRDefault="00147B55" w:rsidP="00743412">
            <w:pPr>
              <w:jc w:val="both"/>
              <w:rPr>
                <w:rFonts w:ascii="Arial" w:hAnsi="Arial" w:cs="Arial"/>
                <w:sz w:val="24"/>
              </w:rPr>
            </w:pPr>
            <w:r w:rsidRPr="00E740C8">
              <w:rPr>
                <w:rFonts w:ascii="Arial" w:hAnsi="Arial" w:cs="Arial"/>
                <w:sz w:val="24"/>
              </w:rPr>
              <w:t xml:space="preserve">Disability Access Fund </w:t>
            </w:r>
          </w:p>
        </w:tc>
        <w:tc>
          <w:tcPr>
            <w:tcW w:w="1740" w:type="dxa"/>
            <w:noWrap/>
            <w:hideMark/>
          </w:tcPr>
          <w:p w14:paraId="60E8C726" w14:textId="77777777" w:rsidR="00743412" w:rsidRPr="00E740C8" w:rsidRDefault="00147B55" w:rsidP="00743412">
            <w:pPr>
              <w:jc w:val="both"/>
              <w:rPr>
                <w:rFonts w:ascii="Arial" w:hAnsi="Arial" w:cs="Arial"/>
                <w:sz w:val="24"/>
              </w:rPr>
            </w:pPr>
            <w:r w:rsidRPr="00E740C8">
              <w:rPr>
                <w:rFonts w:ascii="Arial" w:hAnsi="Arial" w:cs="Arial"/>
                <w:sz w:val="24"/>
              </w:rPr>
              <w:t>Per Child Per Year</w:t>
            </w:r>
          </w:p>
        </w:tc>
        <w:tc>
          <w:tcPr>
            <w:tcW w:w="980" w:type="dxa"/>
            <w:noWrap/>
            <w:hideMark/>
          </w:tcPr>
          <w:p w14:paraId="5D2CEFE5" w14:textId="77777777" w:rsidR="00743412" w:rsidRPr="00E740C8" w:rsidRDefault="00147B55" w:rsidP="00743412">
            <w:pPr>
              <w:jc w:val="both"/>
              <w:rPr>
                <w:rFonts w:ascii="Arial" w:hAnsi="Arial" w:cs="Arial"/>
                <w:sz w:val="24"/>
              </w:rPr>
            </w:pPr>
            <w:r w:rsidRPr="00E740C8">
              <w:rPr>
                <w:rFonts w:ascii="Arial" w:hAnsi="Arial" w:cs="Arial"/>
                <w:sz w:val="24"/>
              </w:rPr>
              <w:t>800</w:t>
            </w:r>
          </w:p>
        </w:tc>
        <w:tc>
          <w:tcPr>
            <w:tcW w:w="1060" w:type="dxa"/>
            <w:noWrap/>
            <w:hideMark/>
          </w:tcPr>
          <w:p w14:paraId="1FFBFE08" w14:textId="77777777" w:rsidR="00743412" w:rsidRPr="00E740C8" w:rsidRDefault="00147B55" w:rsidP="00743412">
            <w:pPr>
              <w:jc w:val="both"/>
              <w:rPr>
                <w:rFonts w:ascii="Arial" w:hAnsi="Arial" w:cs="Arial"/>
                <w:sz w:val="24"/>
              </w:rPr>
            </w:pPr>
            <w:r w:rsidRPr="00E740C8">
              <w:rPr>
                <w:rFonts w:ascii="Arial" w:hAnsi="Arial" w:cs="Arial"/>
                <w:sz w:val="24"/>
              </w:rPr>
              <w:t>828</w:t>
            </w:r>
          </w:p>
        </w:tc>
        <w:tc>
          <w:tcPr>
            <w:tcW w:w="1120" w:type="dxa"/>
            <w:noWrap/>
            <w:hideMark/>
          </w:tcPr>
          <w:p w14:paraId="214D4A95" w14:textId="77777777" w:rsidR="00743412" w:rsidRPr="00E740C8" w:rsidRDefault="00147B55" w:rsidP="00743412">
            <w:pPr>
              <w:jc w:val="both"/>
              <w:rPr>
                <w:rFonts w:ascii="Arial" w:hAnsi="Arial" w:cs="Arial"/>
                <w:sz w:val="24"/>
              </w:rPr>
            </w:pPr>
            <w:r w:rsidRPr="00E740C8">
              <w:rPr>
                <w:rFonts w:ascii="Arial" w:hAnsi="Arial" w:cs="Arial"/>
                <w:sz w:val="24"/>
              </w:rPr>
              <w:t>28</w:t>
            </w:r>
            <w:r w:rsidR="00202D69" w:rsidRPr="00E740C8">
              <w:rPr>
                <w:rFonts w:ascii="Arial" w:hAnsi="Arial" w:cs="Arial"/>
                <w:sz w:val="24"/>
              </w:rPr>
              <w:t>.0</w:t>
            </w:r>
          </w:p>
        </w:tc>
      </w:tr>
    </w:tbl>
    <w:p w14:paraId="152771C2" w14:textId="77777777" w:rsidR="000A13C3" w:rsidRPr="00264768" w:rsidRDefault="000A13C3" w:rsidP="000A13C3">
      <w:pPr>
        <w:jc w:val="both"/>
        <w:rPr>
          <w:rFonts w:cs="Arial"/>
          <w:color w:val="0B0C0C"/>
        </w:rPr>
      </w:pPr>
    </w:p>
    <w:p w14:paraId="2543EB3B" w14:textId="77777777" w:rsidR="009C0B45" w:rsidRPr="00264768" w:rsidRDefault="00147B55" w:rsidP="000A13C3">
      <w:pPr>
        <w:jc w:val="both"/>
        <w:rPr>
          <w:rFonts w:cs="Arial"/>
          <w:color w:val="0B0C0C"/>
        </w:rPr>
      </w:pPr>
      <w:r w:rsidRPr="00264768">
        <w:rPr>
          <w:rFonts w:cs="Arial"/>
          <w:color w:val="0B0C0C"/>
        </w:rPr>
        <w:t xml:space="preserve">The significant increase in the </w:t>
      </w:r>
      <w:r w:rsidR="00AE2E13" w:rsidRPr="00264768">
        <w:rPr>
          <w:rFonts w:cs="Arial"/>
          <w:color w:val="0B0C0C"/>
        </w:rPr>
        <w:t>Supplementary</w:t>
      </w:r>
      <w:r w:rsidRPr="00264768">
        <w:rPr>
          <w:rFonts w:cs="Arial"/>
          <w:color w:val="0B0C0C"/>
        </w:rPr>
        <w:t xml:space="preserve"> Funding is due to the Teachers Pension and Pag Grant now being incorporated into the base rate</w:t>
      </w:r>
      <w:r w:rsidR="00F1779A">
        <w:rPr>
          <w:rFonts w:cs="Arial"/>
          <w:color w:val="0B0C0C"/>
        </w:rPr>
        <w:t>.</w:t>
      </w:r>
    </w:p>
    <w:p w14:paraId="39A40269" w14:textId="77777777" w:rsidR="009C0B45" w:rsidRPr="00264768" w:rsidRDefault="009C0B45" w:rsidP="000A13C3">
      <w:pPr>
        <w:jc w:val="both"/>
        <w:rPr>
          <w:rFonts w:cs="Arial"/>
          <w:color w:val="0B0C0C"/>
        </w:rPr>
      </w:pPr>
    </w:p>
    <w:p w14:paraId="63FD5706" w14:textId="59BCC6D2" w:rsidR="000A13C3" w:rsidRDefault="00147B55" w:rsidP="000A13C3">
      <w:pPr>
        <w:jc w:val="both"/>
        <w:rPr>
          <w:rFonts w:cs="Arial"/>
        </w:rPr>
      </w:pPr>
      <w:r w:rsidRPr="00264768">
        <w:rPr>
          <w:rFonts w:cs="Arial"/>
        </w:rPr>
        <w:t xml:space="preserve">These </w:t>
      </w:r>
      <w:r w:rsidR="000D6FFB" w:rsidRPr="00264768">
        <w:rPr>
          <w:rFonts w:cs="Arial"/>
        </w:rPr>
        <w:t xml:space="preserve">uplifts </w:t>
      </w:r>
      <w:r w:rsidRPr="00264768">
        <w:rPr>
          <w:rFonts w:cs="Arial"/>
        </w:rPr>
        <w:t>provide a total Early Years Block allocation for Lancashire for 2023/24 of £8</w:t>
      </w:r>
      <w:r w:rsidR="00AD0126" w:rsidRPr="00264768">
        <w:rPr>
          <w:rFonts w:cs="Arial"/>
        </w:rPr>
        <w:t>7,644,156</w:t>
      </w:r>
      <w:r w:rsidR="00F1779A">
        <w:rPr>
          <w:rFonts w:cs="Arial"/>
        </w:rPr>
        <w:t>.</w:t>
      </w:r>
    </w:p>
    <w:p w14:paraId="3A2451F6" w14:textId="1E6924E2" w:rsidR="00147B55" w:rsidRDefault="00147B55" w:rsidP="000A13C3">
      <w:pPr>
        <w:jc w:val="both"/>
        <w:rPr>
          <w:rFonts w:cs="Arial"/>
        </w:rPr>
      </w:pPr>
    </w:p>
    <w:tbl>
      <w:tblPr>
        <w:tblStyle w:val="TableGrid"/>
        <w:tblW w:w="0" w:type="auto"/>
        <w:tblLook w:val="04A0" w:firstRow="1" w:lastRow="0" w:firstColumn="1" w:lastColumn="0" w:noHBand="0" w:noVBand="1"/>
      </w:tblPr>
      <w:tblGrid>
        <w:gridCol w:w="4580"/>
        <w:gridCol w:w="1180"/>
        <w:gridCol w:w="960"/>
        <w:gridCol w:w="1340"/>
      </w:tblGrid>
      <w:tr w:rsidR="00147B55" w:rsidRPr="00147B55" w14:paraId="42FD2C84" w14:textId="77777777" w:rsidTr="00147B55">
        <w:trPr>
          <w:trHeight w:val="576"/>
        </w:trPr>
        <w:tc>
          <w:tcPr>
            <w:tcW w:w="4580" w:type="dxa"/>
            <w:noWrap/>
            <w:hideMark/>
          </w:tcPr>
          <w:p w14:paraId="0761FC42" w14:textId="77777777" w:rsidR="00147B55" w:rsidRPr="00147B55" w:rsidRDefault="00147B55" w:rsidP="00147B55">
            <w:pPr>
              <w:jc w:val="both"/>
              <w:rPr>
                <w:rFonts w:ascii="Arial" w:hAnsi="Arial" w:cs="Arial"/>
                <w:b/>
                <w:bCs/>
                <w:sz w:val="24"/>
              </w:rPr>
            </w:pPr>
            <w:r w:rsidRPr="00147B55">
              <w:rPr>
                <w:rFonts w:ascii="Arial" w:hAnsi="Arial" w:cs="Arial"/>
                <w:b/>
                <w:bCs/>
                <w:sz w:val="24"/>
              </w:rPr>
              <w:t>Funding</w:t>
            </w:r>
          </w:p>
        </w:tc>
        <w:tc>
          <w:tcPr>
            <w:tcW w:w="1180" w:type="dxa"/>
            <w:hideMark/>
          </w:tcPr>
          <w:p w14:paraId="5517350F" w14:textId="77777777" w:rsidR="00147B55" w:rsidRPr="00147B55" w:rsidRDefault="00147B55" w:rsidP="00147B55">
            <w:pPr>
              <w:jc w:val="both"/>
              <w:rPr>
                <w:rFonts w:ascii="Arial" w:hAnsi="Arial" w:cs="Arial"/>
                <w:b/>
                <w:bCs/>
                <w:sz w:val="24"/>
              </w:rPr>
            </w:pPr>
            <w:r w:rsidRPr="00147B55">
              <w:rPr>
                <w:rFonts w:ascii="Arial" w:hAnsi="Arial" w:cs="Arial"/>
                <w:b/>
                <w:bCs/>
                <w:sz w:val="24"/>
              </w:rPr>
              <w:t>22/23 (£mil)</w:t>
            </w:r>
          </w:p>
        </w:tc>
        <w:tc>
          <w:tcPr>
            <w:tcW w:w="960" w:type="dxa"/>
            <w:hideMark/>
          </w:tcPr>
          <w:p w14:paraId="765B6C6B" w14:textId="77777777" w:rsidR="00147B55" w:rsidRPr="00147B55" w:rsidRDefault="00147B55" w:rsidP="00147B55">
            <w:pPr>
              <w:jc w:val="both"/>
              <w:rPr>
                <w:rFonts w:ascii="Arial" w:hAnsi="Arial" w:cs="Arial"/>
                <w:b/>
                <w:bCs/>
                <w:sz w:val="24"/>
              </w:rPr>
            </w:pPr>
            <w:r w:rsidRPr="00147B55">
              <w:rPr>
                <w:rFonts w:ascii="Arial" w:hAnsi="Arial" w:cs="Arial"/>
                <w:b/>
                <w:bCs/>
                <w:sz w:val="24"/>
              </w:rPr>
              <w:t>23/24 (£mil)</w:t>
            </w:r>
          </w:p>
        </w:tc>
        <w:tc>
          <w:tcPr>
            <w:tcW w:w="1340" w:type="dxa"/>
            <w:hideMark/>
          </w:tcPr>
          <w:p w14:paraId="2C5B3B42" w14:textId="77777777" w:rsidR="00147B55" w:rsidRPr="00147B55" w:rsidRDefault="00147B55" w:rsidP="00147B55">
            <w:pPr>
              <w:jc w:val="both"/>
              <w:rPr>
                <w:rFonts w:ascii="Arial" w:hAnsi="Arial" w:cs="Arial"/>
                <w:b/>
                <w:bCs/>
                <w:sz w:val="24"/>
              </w:rPr>
            </w:pPr>
            <w:r w:rsidRPr="00147B55">
              <w:rPr>
                <w:rFonts w:ascii="Arial" w:hAnsi="Arial" w:cs="Arial"/>
                <w:b/>
                <w:bCs/>
                <w:sz w:val="24"/>
              </w:rPr>
              <w:t>Increase (£mil)</w:t>
            </w:r>
          </w:p>
        </w:tc>
      </w:tr>
      <w:tr w:rsidR="00147B55" w:rsidRPr="00147B55" w14:paraId="341CE2DE" w14:textId="77777777" w:rsidTr="00147B55">
        <w:trPr>
          <w:trHeight w:val="288"/>
        </w:trPr>
        <w:tc>
          <w:tcPr>
            <w:tcW w:w="4580" w:type="dxa"/>
            <w:noWrap/>
            <w:hideMark/>
          </w:tcPr>
          <w:p w14:paraId="05A1A01E" w14:textId="77777777" w:rsidR="00147B55" w:rsidRPr="00147B55" w:rsidRDefault="00147B55" w:rsidP="00147B55">
            <w:pPr>
              <w:jc w:val="both"/>
              <w:rPr>
                <w:rFonts w:ascii="Arial" w:hAnsi="Arial" w:cs="Arial"/>
                <w:sz w:val="24"/>
              </w:rPr>
            </w:pPr>
            <w:r w:rsidRPr="00147B55">
              <w:rPr>
                <w:rFonts w:ascii="Arial" w:hAnsi="Arial" w:cs="Arial"/>
                <w:sz w:val="24"/>
              </w:rPr>
              <w:t>3 and 4 Year Old Universal</w:t>
            </w:r>
          </w:p>
        </w:tc>
        <w:tc>
          <w:tcPr>
            <w:tcW w:w="1180" w:type="dxa"/>
            <w:noWrap/>
            <w:hideMark/>
          </w:tcPr>
          <w:p w14:paraId="24886269" w14:textId="77777777" w:rsidR="00147B55" w:rsidRPr="00147B55" w:rsidRDefault="00147B55" w:rsidP="00147B55">
            <w:pPr>
              <w:jc w:val="both"/>
              <w:rPr>
                <w:rFonts w:ascii="Arial" w:hAnsi="Arial" w:cs="Arial"/>
                <w:sz w:val="24"/>
              </w:rPr>
            </w:pPr>
            <w:r w:rsidRPr="00147B55">
              <w:rPr>
                <w:rFonts w:ascii="Arial" w:hAnsi="Arial" w:cs="Arial"/>
                <w:sz w:val="24"/>
              </w:rPr>
              <w:t>44.43</w:t>
            </w:r>
          </w:p>
        </w:tc>
        <w:tc>
          <w:tcPr>
            <w:tcW w:w="960" w:type="dxa"/>
            <w:noWrap/>
            <w:hideMark/>
          </w:tcPr>
          <w:p w14:paraId="1F3422E0" w14:textId="77777777" w:rsidR="00147B55" w:rsidRPr="00147B55" w:rsidRDefault="00147B55" w:rsidP="00147B55">
            <w:pPr>
              <w:jc w:val="both"/>
              <w:rPr>
                <w:rFonts w:ascii="Arial" w:hAnsi="Arial" w:cs="Arial"/>
                <w:sz w:val="24"/>
              </w:rPr>
            </w:pPr>
            <w:r w:rsidRPr="00147B55">
              <w:rPr>
                <w:rFonts w:ascii="Arial" w:hAnsi="Arial" w:cs="Arial"/>
                <w:sz w:val="24"/>
              </w:rPr>
              <w:t>46.94</w:t>
            </w:r>
          </w:p>
        </w:tc>
        <w:tc>
          <w:tcPr>
            <w:tcW w:w="1340" w:type="dxa"/>
            <w:noWrap/>
            <w:hideMark/>
          </w:tcPr>
          <w:p w14:paraId="2E2A9EDA" w14:textId="77777777" w:rsidR="00147B55" w:rsidRPr="00147B55" w:rsidRDefault="00147B55" w:rsidP="00147B55">
            <w:pPr>
              <w:jc w:val="both"/>
              <w:rPr>
                <w:rFonts w:ascii="Arial" w:hAnsi="Arial" w:cs="Arial"/>
                <w:sz w:val="24"/>
              </w:rPr>
            </w:pPr>
            <w:r w:rsidRPr="00147B55">
              <w:rPr>
                <w:rFonts w:ascii="Arial" w:hAnsi="Arial" w:cs="Arial"/>
                <w:sz w:val="24"/>
              </w:rPr>
              <w:t>2.51</w:t>
            </w:r>
          </w:p>
        </w:tc>
      </w:tr>
      <w:tr w:rsidR="00147B55" w:rsidRPr="00147B55" w14:paraId="0E4FAB8A" w14:textId="77777777" w:rsidTr="00147B55">
        <w:trPr>
          <w:trHeight w:val="288"/>
        </w:trPr>
        <w:tc>
          <w:tcPr>
            <w:tcW w:w="4580" w:type="dxa"/>
            <w:noWrap/>
            <w:hideMark/>
          </w:tcPr>
          <w:p w14:paraId="53383809" w14:textId="77777777" w:rsidR="00147B55" w:rsidRPr="00147B55" w:rsidRDefault="00147B55" w:rsidP="00147B55">
            <w:pPr>
              <w:jc w:val="both"/>
              <w:rPr>
                <w:rFonts w:ascii="Arial" w:hAnsi="Arial" w:cs="Arial"/>
                <w:sz w:val="24"/>
              </w:rPr>
            </w:pPr>
            <w:r w:rsidRPr="00147B55">
              <w:rPr>
                <w:rFonts w:ascii="Arial" w:hAnsi="Arial" w:cs="Arial"/>
                <w:sz w:val="24"/>
              </w:rPr>
              <w:t>3 and 4 Year Old Extended Entitlement</w:t>
            </w:r>
          </w:p>
        </w:tc>
        <w:tc>
          <w:tcPr>
            <w:tcW w:w="1180" w:type="dxa"/>
            <w:noWrap/>
            <w:hideMark/>
          </w:tcPr>
          <w:p w14:paraId="2ECAA5DC" w14:textId="77777777" w:rsidR="00147B55" w:rsidRPr="00147B55" w:rsidRDefault="00147B55" w:rsidP="00147B55">
            <w:pPr>
              <w:jc w:val="both"/>
              <w:rPr>
                <w:rFonts w:ascii="Arial" w:hAnsi="Arial" w:cs="Arial"/>
                <w:sz w:val="24"/>
              </w:rPr>
            </w:pPr>
            <w:r w:rsidRPr="00147B55">
              <w:rPr>
                <w:rFonts w:ascii="Arial" w:hAnsi="Arial" w:cs="Arial"/>
                <w:sz w:val="24"/>
              </w:rPr>
              <w:t>23.60</w:t>
            </w:r>
          </w:p>
        </w:tc>
        <w:tc>
          <w:tcPr>
            <w:tcW w:w="960" w:type="dxa"/>
            <w:noWrap/>
            <w:hideMark/>
          </w:tcPr>
          <w:p w14:paraId="2F49B4AD" w14:textId="77777777" w:rsidR="00147B55" w:rsidRPr="00147B55" w:rsidRDefault="00147B55" w:rsidP="00147B55">
            <w:pPr>
              <w:jc w:val="both"/>
              <w:rPr>
                <w:rFonts w:ascii="Arial" w:hAnsi="Arial" w:cs="Arial"/>
                <w:sz w:val="24"/>
              </w:rPr>
            </w:pPr>
            <w:r w:rsidRPr="00147B55">
              <w:rPr>
                <w:rFonts w:ascii="Arial" w:hAnsi="Arial" w:cs="Arial"/>
                <w:sz w:val="24"/>
              </w:rPr>
              <w:t>24.93</w:t>
            </w:r>
          </w:p>
        </w:tc>
        <w:tc>
          <w:tcPr>
            <w:tcW w:w="1340" w:type="dxa"/>
            <w:noWrap/>
            <w:hideMark/>
          </w:tcPr>
          <w:p w14:paraId="39A51CD3" w14:textId="77777777" w:rsidR="00147B55" w:rsidRPr="00147B55" w:rsidRDefault="00147B55" w:rsidP="00147B55">
            <w:pPr>
              <w:jc w:val="both"/>
              <w:rPr>
                <w:rFonts w:ascii="Arial" w:hAnsi="Arial" w:cs="Arial"/>
                <w:sz w:val="24"/>
              </w:rPr>
            </w:pPr>
            <w:r w:rsidRPr="00147B55">
              <w:rPr>
                <w:rFonts w:ascii="Arial" w:hAnsi="Arial" w:cs="Arial"/>
                <w:sz w:val="24"/>
              </w:rPr>
              <w:t>1.33</w:t>
            </w:r>
          </w:p>
        </w:tc>
      </w:tr>
      <w:tr w:rsidR="00147B55" w:rsidRPr="00147B55" w14:paraId="7B1456DB" w14:textId="77777777" w:rsidTr="00147B55">
        <w:trPr>
          <w:trHeight w:val="288"/>
        </w:trPr>
        <w:tc>
          <w:tcPr>
            <w:tcW w:w="4580" w:type="dxa"/>
            <w:noWrap/>
            <w:hideMark/>
          </w:tcPr>
          <w:p w14:paraId="21747B4A" w14:textId="77777777" w:rsidR="00147B55" w:rsidRPr="00147B55" w:rsidRDefault="00147B55" w:rsidP="00147B55">
            <w:pPr>
              <w:jc w:val="both"/>
              <w:rPr>
                <w:rFonts w:ascii="Arial" w:hAnsi="Arial" w:cs="Arial"/>
                <w:sz w:val="24"/>
              </w:rPr>
            </w:pPr>
            <w:r w:rsidRPr="00147B55">
              <w:rPr>
                <w:rFonts w:ascii="Arial" w:hAnsi="Arial" w:cs="Arial"/>
                <w:sz w:val="24"/>
              </w:rPr>
              <w:t>2 Year Olds</w:t>
            </w:r>
          </w:p>
        </w:tc>
        <w:tc>
          <w:tcPr>
            <w:tcW w:w="1180" w:type="dxa"/>
            <w:noWrap/>
            <w:hideMark/>
          </w:tcPr>
          <w:p w14:paraId="0CAA9B88" w14:textId="77777777" w:rsidR="00147B55" w:rsidRPr="00147B55" w:rsidRDefault="00147B55" w:rsidP="00147B55">
            <w:pPr>
              <w:jc w:val="both"/>
              <w:rPr>
                <w:rFonts w:ascii="Arial" w:hAnsi="Arial" w:cs="Arial"/>
                <w:sz w:val="24"/>
              </w:rPr>
            </w:pPr>
            <w:r w:rsidRPr="00147B55">
              <w:rPr>
                <w:rFonts w:ascii="Arial" w:hAnsi="Arial" w:cs="Arial"/>
                <w:sz w:val="24"/>
              </w:rPr>
              <w:t>10.34</w:t>
            </w:r>
          </w:p>
        </w:tc>
        <w:tc>
          <w:tcPr>
            <w:tcW w:w="960" w:type="dxa"/>
            <w:noWrap/>
            <w:hideMark/>
          </w:tcPr>
          <w:p w14:paraId="081D5520" w14:textId="77777777" w:rsidR="00147B55" w:rsidRPr="00147B55" w:rsidRDefault="00147B55" w:rsidP="00147B55">
            <w:pPr>
              <w:jc w:val="both"/>
              <w:rPr>
                <w:rFonts w:ascii="Arial" w:hAnsi="Arial" w:cs="Arial"/>
                <w:sz w:val="24"/>
              </w:rPr>
            </w:pPr>
            <w:r w:rsidRPr="00147B55">
              <w:rPr>
                <w:rFonts w:ascii="Arial" w:hAnsi="Arial" w:cs="Arial"/>
                <w:sz w:val="24"/>
              </w:rPr>
              <w:t>10.45</w:t>
            </w:r>
          </w:p>
        </w:tc>
        <w:tc>
          <w:tcPr>
            <w:tcW w:w="1340" w:type="dxa"/>
            <w:noWrap/>
            <w:hideMark/>
          </w:tcPr>
          <w:p w14:paraId="68576040" w14:textId="77777777" w:rsidR="00147B55" w:rsidRPr="00147B55" w:rsidRDefault="00147B55" w:rsidP="00147B55">
            <w:pPr>
              <w:jc w:val="both"/>
              <w:rPr>
                <w:rFonts w:ascii="Arial" w:hAnsi="Arial" w:cs="Arial"/>
                <w:sz w:val="24"/>
              </w:rPr>
            </w:pPr>
            <w:r w:rsidRPr="00147B55">
              <w:rPr>
                <w:rFonts w:ascii="Arial" w:hAnsi="Arial" w:cs="Arial"/>
                <w:sz w:val="24"/>
              </w:rPr>
              <w:t>0.11</w:t>
            </w:r>
          </w:p>
        </w:tc>
      </w:tr>
      <w:tr w:rsidR="00147B55" w:rsidRPr="00147B55" w14:paraId="79685B4B" w14:textId="77777777" w:rsidTr="00147B55">
        <w:trPr>
          <w:trHeight w:val="288"/>
        </w:trPr>
        <w:tc>
          <w:tcPr>
            <w:tcW w:w="4580" w:type="dxa"/>
            <w:noWrap/>
            <w:hideMark/>
          </w:tcPr>
          <w:p w14:paraId="56550711" w14:textId="77777777" w:rsidR="00147B55" w:rsidRPr="00147B55" w:rsidRDefault="00147B55" w:rsidP="00147B55">
            <w:pPr>
              <w:jc w:val="both"/>
              <w:rPr>
                <w:rFonts w:ascii="Arial" w:hAnsi="Arial" w:cs="Arial"/>
                <w:sz w:val="24"/>
              </w:rPr>
            </w:pPr>
            <w:r w:rsidRPr="00147B55">
              <w:rPr>
                <w:rFonts w:ascii="Arial" w:hAnsi="Arial" w:cs="Arial"/>
                <w:sz w:val="24"/>
              </w:rPr>
              <w:t xml:space="preserve">Early Years Pupil Premium </w:t>
            </w:r>
          </w:p>
        </w:tc>
        <w:tc>
          <w:tcPr>
            <w:tcW w:w="1180" w:type="dxa"/>
            <w:noWrap/>
            <w:hideMark/>
          </w:tcPr>
          <w:p w14:paraId="16FD0C97" w14:textId="77777777" w:rsidR="00147B55" w:rsidRPr="00147B55" w:rsidRDefault="00147B55" w:rsidP="00147B55">
            <w:pPr>
              <w:jc w:val="both"/>
              <w:rPr>
                <w:rFonts w:ascii="Arial" w:hAnsi="Arial" w:cs="Arial"/>
                <w:sz w:val="24"/>
              </w:rPr>
            </w:pPr>
            <w:r w:rsidRPr="00147B55">
              <w:rPr>
                <w:rFonts w:ascii="Arial" w:hAnsi="Arial" w:cs="Arial"/>
                <w:sz w:val="24"/>
              </w:rPr>
              <w:t>0.94</w:t>
            </w:r>
          </w:p>
        </w:tc>
        <w:tc>
          <w:tcPr>
            <w:tcW w:w="960" w:type="dxa"/>
            <w:noWrap/>
            <w:hideMark/>
          </w:tcPr>
          <w:p w14:paraId="04D8C889" w14:textId="77777777" w:rsidR="00147B55" w:rsidRPr="00147B55" w:rsidRDefault="00147B55" w:rsidP="00147B55">
            <w:pPr>
              <w:jc w:val="both"/>
              <w:rPr>
                <w:rFonts w:ascii="Arial" w:hAnsi="Arial" w:cs="Arial"/>
                <w:sz w:val="24"/>
              </w:rPr>
            </w:pPr>
            <w:r w:rsidRPr="00147B55">
              <w:rPr>
                <w:rFonts w:ascii="Arial" w:hAnsi="Arial" w:cs="Arial"/>
                <w:sz w:val="24"/>
              </w:rPr>
              <w:t>0.97</w:t>
            </w:r>
          </w:p>
        </w:tc>
        <w:tc>
          <w:tcPr>
            <w:tcW w:w="1340" w:type="dxa"/>
            <w:noWrap/>
            <w:hideMark/>
          </w:tcPr>
          <w:p w14:paraId="0B91F4C8" w14:textId="77777777" w:rsidR="00147B55" w:rsidRPr="00147B55" w:rsidRDefault="00147B55" w:rsidP="00147B55">
            <w:pPr>
              <w:jc w:val="both"/>
              <w:rPr>
                <w:rFonts w:ascii="Arial" w:hAnsi="Arial" w:cs="Arial"/>
                <w:sz w:val="24"/>
              </w:rPr>
            </w:pPr>
            <w:r w:rsidRPr="00147B55">
              <w:rPr>
                <w:rFonts w:ascii="Arial" w:hAnsi="Arial" w:cs="Arial"/>
                <w:sz w:val="24"/>
              </w:rPr>
              <w:t>0.03</w:t>
            </w:r>
          </w:p>
        </w:tc>
      </w:tr>
      <w:tr w:rsidR="00147B55" w:rsidRPr="00147B55" w14:paraId="1DB45DBF" w14:textId="77777777" w:rsidTr="00147B55">
        <w:trPr>
          <w:trHeight w:val="288"/>
        </w:trPr>
        <w:tc>
          <w:tcPr>
            <w:tcW w:w="4580" w:type="dxa"/>
            <w:noWrap/>
            <w:hideMark/>
          </w:tcPr>
          <w:p w14:paraId="338346C1" w14:textId="77777777" w:rsidR="00147B55" w:rsidRPr="00147B55" w:rsidRDefault="00147B55" w:rsidP="00147B55">
            <w:pPr>
              <w:jc w:val="both"/>
              <w:rPr>
                <w:rFonts w:ascii="Arial" w:hAnsi="Arial" w:cs="Arial"/>
                <w:sz w:val="24"/>
              </w:rPr>
            </w:pPr>
            <w:r w:rsidRPr="00147B55">
              <w:rPr>
                <w:rFonts w:ascii="Arial" w:hAnsi="Arial" w:cs="Arial"/>
                <w:sz w:val="24"/>
              </w:rPr>
              <w:t>Supplementary Funding for MNS</w:t>
            </w:r>
          </w:p>
        </w:tc>
        <w:tc>
          <w:tcPr>
            <w:tcW w:w="1180" w:type="dxa"/>
            <w:noWrap/>
            <w:hideMark/>
          </w:tcPr>
          <w:p w14:paraId="4E3E335A" w14:textId="77777777" w:rsidR="00147B55" w:rsidRPr="00147B55" w:rsidRDefault="00147B55" w:rsidP="00147B55">
            <w:pPr>
              <w:jc w:val="both"/>
              <w:rPr>
                <w:rFonts w:ascii="Arial" w:hAnsi="Arial" w:cs="Arial"/>
                <w:sz w:val="24"/>
              </w:rPr>
            </w:pPr>
            <w:r w:rsidRPr="00147B55">
              <w:rPr>
                <w:rFonts w:ascii="Arial" w:hAnsi="Arial" w:cs="Arial"/>
                <w:sz w:val="24"/>
              </w:rPr>
              <w:t>3.34</w:t>
            </w:r>
          </w:p>
        </w:tc>
        <w:tc>
          <w:tcPr>
            <w:tcW w:w="960" w:type="dxa"/>
            <w:noWrap/>
            <w:hideMark/>
          </w:tcPr>
          <w:p w14:paraId="4344EA59" w14:textId="77777777" w:rsidR="00147B55" w:rsidRPr="00147B55" w:rsidRDefault="00147B55" w:rsidP="00147B55">
            <w:pPr>
              <w:jc w:val="both"/>
              <w:rPr>
                <w:rFonts w:ascii="Arial" w:hAnsi="Arial" w:cs="Arial"/>
                <w:sz w:val="24"/>
              </w:rPr>
            </w:pPr>
            <w:r w:rsidRPr="00147B55">
              <w:rPr>
                <w:rFonts w:ascii="Arial" w:hAnsi="Arial" w:cs="Arial"/>
                <w:sz w:val="24"/>
              </w:rPr>
              <w:t>3.92</w:t>
            </w:r>
          </w:p>
        </w:tc>
        <w:tc>
          <w:tcPr>
            <w:tcW w:w="1340" w:type="dxa"/>
            <w:noWrap/>
            <w:hideMark/>
          </w:tcPr>
          <w:p w14:paraId="45DF2C54" w14:textId="77777777" w:rsidR="00147B55" w:rsidRPr="00147B55" w:rsidRDefault="00147B55" w:rsidP="00147B55">
            <w:pPr>
              <w:jc w:val="both"/>
              <w:rPr>
                <w:rFonts w:ascii="Arial" w:hAnsi="Arial" w:cs="Arial"/>
                <w:sz w:val="24"/>
              </w:rPr>
            </w:pPr>
            <w:r w:rsidRPr="00147B55">
              <w:rPr>
                <w:rFonts w:ascii="Arial" w:hAnsi="Arial" w:cs="Arial"/>
                <w:sz w:val="24"/>
              </w:rPr>
              <w:t>0.58</w:t>
            </w:r>
          </w:p>
        </w:tc>
      </w:tr>
      <w:tr w:rsidR="00147B55" w:rsidRPr="00147B55" w14:paraId="77EF0270" w14:textId="77777777" w:rsidTr="00147B55">
        <w:trPr>
          <w:trHeight w:val="288"/>
        </w:trPr>
        <w:tc>
          <w:tcPr>
            <w:tcW w:w="4580" w:type="dxa"/>
            <w:noWrap/>
            <w:hideMark/>
          </w:tcPr>
          <w:p w14:paraId="2B7D29F3" w14:textId="77777777" w:rsidR="00147B55" w:rsidRPr="00147B55" w:rsidRDefault="00147B55" w:rsidP="00147B55">
            <w:pPr>
              <w:jc w:val="both"/>
              <w:rPr>
                <w:rFonts w:ascii="Arial" w:hAnsi="Arial" w:cs="Arial"/>
                <w:sz w:val="24"/>
              </w:rPr>
            </w:pPr>
            <w:r w:rsidRPr="00147B55">
              <w:rPr>
                <w:rFonts w:ascii="Arial" w:hAnsi="Arial" w:cs="Arial"/>
                <w:sz w:val="24"/>
              </w:rPr>
              <w:t>Early Years DAF</w:t>
            </w:r>
          </w:p>
        </w:tc>
        <w:tc>
          <w:tcPr>
            <w:tcW w:w="1180" w:type="dxa"/>
            <w:noWrap/>
            <w:hideMark/>
          </w:tcPr>
          <w:p w14:paraId="7BBF26A4" w14:textId="77777777" w:rsidR="00147B55" w:rsidRPr="00147B55" w:rsidRDefault="00147B55" w:rsidP="00147B55">
            <w:pPr>
              <w:jc w:val="both"/>
              <w:rPr>
                <w:rFonts w:ascii="Arial" w:hAnsi="Arial" w:cs="Arial"/>
                <w:sz w:val="24"/>
              </w:rPr>
            </w:pPr>
            <w:r w:rsidRPr="00147B55">
              <w:rPr>
                <w:rFonts w:ascii="Arial" w:hAnsi="Arial" w:cs="Arial"/>
                <w:sz w:val="24"/>
              </w:rPr>
              <w:t>0.36</w:t>
            </w:r>
          </w:p>
        </w:tc>
        <w:tc>
          <w:tcPr>
            <w:tcW w:w="960" w:type="dxa"/>
            <w:noWrap/>
            <w:hideMark/>
          </w:tcPr>
          <w:p w14:paraId="6F3A59D6" w14:textId="77777777" w:rsidR="00147B55" w:rsidRPr="00147B55" w:rsidRDefault="00147B55" w:rsidP="00147B55">
            <w:pPr>
              <w:jc w:val="both"/>
              <w:rPr>
                <w:rFonts w:ascii="Arial" w:hAnsi="Arial" w:cs="Arial"/>
                <w:sz w:val="24"/>
              </w:rPr>
            </w:pPr>
            <w:r w:rsidRPr="00147B55">
              <w:rPr>
                <w:rFonts w:ascii="Arial" w:hAnsi="Arial" w:cs="Arial"/>
                <w:sz w:val="24"/>
              </w:rPr>
              <w:t>0.44</w:t>
            </w:r>
          </w:p>
        </w:tc>
        <w:tc>
          <w:tcPr>
            <w:tcW w:w="1340" w:type="dxa"/>
            <w:noWrap/>
            <w:hideMark/>
          </w:tcPr>
          <w:p w14:paraId="2C95551D" w14:textId="77777777" w:rsidR="00147B55" w:rsidRPr="00147B55" w:rsidRDefault="00147B55" w:rsidP="00147B55">
            <w:pPr>
              <w:jc w:val="both"/>
              <w:rPr>
                <w:rFonts w:ascii="Arial" w:hAnsi="Arial" w:cs="Arial"/>
                <w:sz w:val="24"/>
              </w:rPr>
            </w:pPr>
            <w:r w:rsidRPr="00147B55">
              <w:rPr>
                <w:rFonts w:ascii="Arial" w:hAnsi="Arial" w:cs="Arial"/>
                <w:sz w:val="24"/>
              </w:rPr>
              <w:t>0.07</w:t>
            </w:r>
          </w:p>
        </w:tc>
      </w:tr>
      <w:tr w:rsidR="00147B55" w:rsidRPr="00147B55" w14:paraId="18EA13C5" w14:textId="77777777" w:rsidTr="00147B55">
        <w:trPr>
          <w:trHeight w:val="288"/>
        </w:trPr>
        <w:tc>
          <w:tcPr>
            <w:tcW w:w="4580" w:type="dxa"/>
            <w:noWrap/>
            <w:hideMark/>
          </w:tcPr>
          <w:p w14:paraId="273D78C7" w14:textId="77777777" w:rsidR="00147B55" w:rsidRPr="00147B55" w:rsidRDefault="00147B55" w:rsidP="00147B55">
            <w:pPr>
              <w:jc w:val="both"/>
              <w:rPr>
                <w:rFonts w:ascii="Arial" w:hAnsi="Arial" w:cs="Arial"/>
                <w:sz w:val="24"/>
              </w:rPr>
            </w:pPr>
          </w:p>
        </w:tc>
        <w:tc>
          <w:tcPr>
            <w:tcW w:w="1180" w:type="dxa"/>
            <w:noWrap/>
            <w:hideMark/>
          </w:tcPr>
          <w:p w14:paraId="7C4F27F5" w14:textId="77777777" w:rsidR="00147B55" w:rsidRPr="00147B55" w:rsidRDefault="00147B55" w:rsidP="00147B55">
            <w:pPr>
              <w:jc w:val="both"/>
              <w:rPr>
                <w:rFonts w:ascii="Arial" w:hAnsi="Arial" w:cs="Arial"/>
                <w:sz w:val="24"/>
              </w:rPr>
            </w:pPr>
          </w:p>
        </w:tc>
        <w:tc>
          <w:tcPr>
            <w:tcW w:w="960" w:type="dxa"/>
            <w:noWrap/>
            <w:hideMark/>
          </w:tcPr>
          <w:p w14:paraId="03BCCEA7" w14:textId="77777777" w:rsidR="00147B55" w:rsidRPr="00147B55" w:rsidRDefault="00147B55" w:rsidP="00147B55">
            <w:pPr>
              <w:jc w:val="both"/>
              <w:rPr>
                <w:rFonts w:ascii="Arial" w:hAnsi="Arial" w:cs="Arial"/>
                <w:sz w:val="24"/>
              </w:rPr>
            </w:pPr>
          </w:p>
        </w:tc>
        <w:tc>
          <w:tcPr>
            <w:tcW w:w="1340" w:type="dxa"/>
            <w:noWrap/>
            <w:hideMark/>
          </w:tcPr>
          <w:p w14:paraId="7D509ED4" w14:textId="77777777" w:rsidR="00147B55" w:rsidRPr="00147B55" w:rsidRDefault="00147B55" w:rsidP="00147B55">
            <w:pPr>
              <w:jc w:val="both"/>
              <w:rPr>
                <w:rFonts w:ascii="Arial" w:hAnsi="Arial" w:cs="Arial"/>
                <w:sz w:val="24"/>
              </w:rPr>
            </w:pPr>
          </w:p>
        </w:tc>
      </w:tr>
      <w:tr w:rsidR="00147B55" w:rsidRPr="00147B55" w14:paraId="062CF8E0" w14:textId="77777777" w:rsidTr="00147B55">
        <w:trPr>
          <w:trHeight w:val="288"/>
        </w:trPr>
        <w:tc>
          <w:tcPr>
            <w:tcW w:w="4580" w:type="dxa"/>
            <w:noWrap/>
            <w:hideMark/>
          </w:tcPr>
          <w:p w14:paraId="67051DA4" w14:textId="77777777" w:rsidR="00147B55" w:rsidRPr="00147B55" w:rsidRDefault="00147B55" w:rsidP="00147B55">
            <w:pPr>
              <w:jc w:val="both"/>
              <w:rPr>
                <w:rFonts w:ascii="Arial" w:hAnsi="Arial" w:cs="Arial"/>
                <w:b/>
                <w:bCs/>
                <w:sz w:val="24"/>
              </w:rPr>
            </w:pPr>
            <w:r w:rsidRPr="00147B55">
              <w:rPr>
                <w:rFonts w:ascii="Arial" w:hAnsi="Arial" w:cs="Arial"/>
                <w:b/>
                <w:bCs/>
                <w:sz w:val="24"/>
              </w:rPr>
              <w:t>Total Early Years Funding</w:t>
            </w:r>
          </w:p>
        </w:tc>
        <w:tc>
          <w:tcPr>
            <w:tcW w:w="1180" w:type="dxa"/>
            <w:noWrap/>
            <w:hideMark/>
          </w:tcPr>
          <w:p w14:paraId="4A4F1BCE" w14:textId="77777777" w:rsidR="00147B55" w:rsidRPr="00147B55" w:rsidRDefault="00147B55" w:rsidP="00147B55">
            <w:pPr>
              <w:jc w:val="both"/>
              <w:rPr>
                <w:rFonts w:ascii="Arial" w:hAnsi="Arial" w:cs="Arial"/>
                <w:b/>
                <w:bCs/>
                <w:sz w:val="24"/>
              </w:rPr>
            </w:pPr>
            <w:r w:rsidRPr="00147B55">
              <w:rPr>
                <w:rFonts w:ascii="Arial" w:hAnsi="Arial" w:cs="Arial"/>
                <w:b/>
                <w:bCs/>
                <w:sz w:val="24"/>
              </w:rPr>
              <w:t>83.01</w:t>
            </w:r>
          </w:p>
        </w:tc>
        <w:tc>
          <w:tcPr>
            <w:tcW w:w="960" w:type="dxa"/>
            <w:noWrap/>
            <w:hideMark/>
          </w:tcPr>
          <w:p w14:paraId="57EA9802" w14:textId="77777777" w:rsidR="00147B55" w:rsidRPr="00147B55" w:rsidRDefault="00147B55" w:rsidP="00147B55">
            <w:pPr>
              <w:jc w:val="both"/>
              <w:rPr>
                <w:rFonts w:ascii="Arial" w:hAnsi="Arial" w:cs="Arial"/>
                <w:b/>
                <w:bCs/>
                <w:sz w:val="24"/>
              </w:rPr>
            </w:pPr>
            <w:r w:rsidRPr="00147B55">
              <w:rPr>
                <w:rFonts w:ascii="Arial" w:hAnsi="Arial" w:cs="Arial"/>
                <w:b/>
                <w:bCs/>
                <w:sz w:val="24"/>
              </w:rPr>
              <w:t>87.64</w:t>
            </w:r>
          </w:p>
        </w:tc>
        <w:tc>
          <w:tcPr>
            <w:tcW w:w="1340" w:type="dxa"/>
            <w:noWrap/>
            <w:hideMark/>
          </w:tcPr>
          <w:p w14:paraId="5DD66D53" w14:textId="77777777" w:rsidR="00147B55" w:rsidRPr="00147B55" w:rsidRDefault="00147B55" w:rsidP="00147B55">
            <w:pPr>
              <w:jc w:val="both"/>
              <w:rPr>
                <w:rFonts w:ascii="Arial" w:hAnsi="Arial" w:cs="Arial"/>
                <w:b/>
                <w:bCs/>
                <w:sz w:val="24"/>
              </w:rPr>
            </w:pPr>
            <w:r w:rsidRPr="00147B55">
              <w:rPr>
                <w:rFonts w:ascii="Arial" w:hAnsi="Arial" w:cs="Arial"/>
                <w:b/>
                <w:bCs/>
                <w:sz w:val="24"/>
              </w:rPr>
              <w:t>4.64</w:t>
            </w:r>
          </w:p>
        </w:tc>
      </w:tr>
    </w:tbl>
    <w:p w14:paraId="42B8B5C3" w14:textId="77777777" w:rsidR="00147B55" w:rsidRPr="00264768" w:rsidRDefault="00147B55" w:rsidP="000A13C3">
      <w:pPr>
        <w:jc w:val="both"/>
        <w:rPr>
          <w:rFonts w:cs="Arial"/>
        </w:rPr>
      </w:pPr>
    </w:p>
    <w:p w14:paraId="39E01445" w14:textId="77777777" w:rsidR="000A13C3" w:rsidRPr="00264768" w:rsidRDefault="00147B55" w:rsidP="000A13C3">
      <w:pPr>
        <w:jc w:val="both"/>
        <w:rPr>
          <w:rFonts w:cs="Arial"/>
        </w:rPr>
      </w:pPr>
      <w:r w:rsidRPr="00264768">
        <w:rPr>
          <w:rFonts w:cs="Arial"/>
        </w:rPr>
        <w:t>Lancashire's Early Years funding is £</w:t>
      </w:r>
      <w:r w:rsidR="00AD0126" w:rsidRPr="00264768">
        <w:rPr>
          <w:rFonts w:cs="Arial"/>
        </w:rPr>
        <w:t>4.6m higher</w:t>
      </w:r>
      <w:r w:rsidRPr="00264768">
        <w:rPr>
          <w:rFonts w:cs="Arial"/>
        </w:rPr>
        <w:t xml:space="preserve"> than the equivalent 2022/23 allocation</w:t>
      </w:r>
      <w:r w:rsidR="00AD0126" w:rsidRPr="00264768">
        <w:rPr>
          <w:rFonts w:cs="Arial"/>
        </w:rPr>
        <w:t xml:space="preserve">, </w:t>
      </w:r>
      <w:r w:rsidR="00422940" w:rsidRPr="00264768">
        <w:rPr>
          <w:rFonts w:cs="Arial"/>
        </w:rPr>
        <w:t>this</w:t>
      </w:r>
      <w:r w:rsidRPr="00264768">
        <w:rPr>
          <w:rFonts w:cs="Arial"/>
        </w:rPr>
        <w:t xml:space="preserve"> is due </w:t>
      </w:r>
      <w:r w:rsidR="000566C1" w:rsidRPr="00264768">
        <w:rPr>
          <w:rFonts w:cs="Arial"/>
        </w:rPr>
        <w:t>to the increases in hourly rates listed above</w:t>
      </w:r>
      <w:r w:rsidR="00F1779A">
        <w:rPr>
          <w:rFonts w:cs="Arial"/>
        </w:rPr>
        <w:t>.</w:t>
      </w:r>
    </w:p>
    <w:p w14:paraId="6476623F" w14:textId="77777777" w:rsidR="000566C1" w:rsidRPr="00264768" w:rsidRDefault="000566C1" w:rsidP="000A13C3">
      <w:pPr>
        <w:jc w:val="both"/>
        <w:rPr>
          <w:rFonts w:cs="Arial"/>
        </w:rPr>
      </w:pPr>
    </w:p>
    <w:p w14:paraId="2CA3FA28" w14:textId="77777777" w:rsidR="000A13C3" w:rsidRPr="00264768" w:rsidRDefault="00147B55" w:rsidP="000A13C3">
      <w:pPr>
        <w:jc w:val="both"/>
        <w:rPr>
          <w:rFonts w:cs="Arial"/>
        </w:rPr>
      </w:pPr>
      <w:r w:rsidRPr="00264768">
        <w:rPr>
          <w:rFonts w:cs="Arial"/>
        </w:rPr>
        <w:t xml:space="preserve">It should be noted that the 2023/24 early years block allocations are initial, and based on Schools, Early Years and Alternative Provision </w:t>
      </w:r>
      <w:r w:rsidR="00833E58">
        <w:rPr>
          <w:rFonts w:cs="Arial"/>
        </w:rPr>
        <w:t>census</w:t>
      </w:r>
      <w:r w:rsidRPr="00264768">
        <w:rPr>
          <w:rFonts w:cs="Arial"/>
        </w:rPr>
        <w:t xml:space="preserve"> data from January 2022. These allocations will be updated based on January 2023 census data</w:t>
      </w:r>
      <w:r w:rsidR="000566C1" w:rsidRPr="00264768">
        <w:rPr>
          <w:rFonts w:cs="Arial"/>
        </w:rPr>
        <w:t xml:space="preserve"> and will be received </w:t>
      </w:r>
      <w:r w:rsidR="00833E58">
        <w:rPr>
          <w:rFonts w:cs="Arial"/>
        </w:rPr>
        <w:t xml:space="preserve">in </w:t>
      </w:r>
      <w:r w:rsidR="000566C1" w:rsidRPr="00264768">
        <w:rPr>
          <w:rFonts w:cs="Arial"/>
        </w:rPr>
        <w:t>July 2023</w:t>
      </w:r>
      <w:r>
        <w:rPr>
          <w:rFonts w:cs="Arial"/>
        </w:rPr>
        <w:t>.</w:t>
      </w:r>
    </w:p>
    <w:p w14:paraId="29C0A042" w14:textId="77777777" w:rsidR="000A13C3" w:rsidRPr="00264768" w:rsidRDefault="000A13C3" w:rsidP="000A13C3">
      <w:pPr>
        <w:jc w:val="both"/>
        <w:rPr>
          <w:rFonts w:cs="Arial"/>
        </w:rPr>
      </w:pPr>
    </w:p>
    <w:p w14:paraId="5DD0C1A4" w14:textId="77777777" w:rsidR="009B6D6A" w:rsidRPr="00264768" w:rsidRDefault="00147B55" w:rsidP="000A13C3">
      <w:pPr>
        <w:jc w:val="both"/>
        <w:rPr>
          <w:rFonts w:cs="Arial"/>
          <w:b/>
          <w:u w:val="single"/>
        </w:rPr>
      </w:pPr>
      <w:r w:rsidRPr="00264768">
        <w:rPr>
          <w:rFonts w:cs="Arial"/>
          <w:b/>
          <w:u w:val="single"/>
        </w:rPr>
        <w:t xml:space="preserve">Central Schools Services Block Allocation </w:t>
      </w:r>
      <w:r w:rsidR="00E55FF8">
        <w:rPr>
          <w:rFonts w:cs="Arial"/>
          <w:b/>
          <w:u w:val="single"/>
        </w:rPr>
        <w:t>–</w:t>
      </w:r>
      <w:r w:rsidRPr="00264768">
        <w:rPr>
          <w:rFonts w:cs="Arial"/>
          <w:b/>
          <w:u w:val="single"/>
        </w:rPr>
        <w:t xml:space="preserve"> </w:t>
      </w:r>
      <w:r w:rsidR="00E55FF8">
        <w:rPr>
          <w:rFonts w:cs="Arial"/>
          <w:b/>
          <w:u w:val="single"/>
        </w:rPr>
        <w:t>(</w:t>
      </w:r>
      <w:r w:rsidRPr="00264768">
        <w:rPr>
          <w:rFonts w:cs="Arial"/>
          <w:b/>
          <w:u w:val="single"/>
        </w:rPr>
        <w:t>£6.8m</w:t>
      </w:r>
      <w:r w:rsidR="00E55FF8">
        <w:rPr>
          <w:rFonts w:cs="Arial"/>
          <w:b/>
          <w:u w:val="single"/>
        </w:rPr>
        <w:t>)</w:t>
      </w:r>
    </w:p>
    <w:p w14:paraId="2CA19D3A" w14:textId="77777777" w:rsidR="000A13C3" w:rsidRPr="00264768" w:rsidRDefault="00147B55" w:rsidP="000A13C3">
      <w:pPr>
        <w:jc w:val="both"/>
        <w:rPr>
          <w:rFonts w:cs="Arial"/>
        </w:rPr>
      </w:pPr>
      <w:r w:rsidRPr="00264768">
        <w:rPr>
          <w:rFonts w:cs="Arial"/>
        </w:rPr>
        <w:t xml:space="preserve">The Central Schools Services Block is to fund central functions that Local Authority's carry out on behalf of pupils in state-funded maintained schools and academies in England. </w:t>
      </w:r>
    </w:p>
    <w:p w14:paraId="4F197C15" w14:textId="77777777" w:rsidR="000A13C3" w:rsidRPr="00264768" w:rsidRDefault="000A13C3" w:rsidP="000A13C3">
      <w:pPr>
        <w:jc w:val="both"/>
        <w:rPr>
          <w:rFonts w:cs="Arial"/>
        </w:rPr>
      </w:pPr>
    </w:p>
    <w:p w14:paraId="1FBA0C72" w14:textId="77777777" w:rsidR="000A13C3" w:rsidRPr="00264768" w:rsidRDefault="00147B55" w:rsidP="000A13C3">
      <w:pPr>
        <w:jc w:val="both"/>
        <w:rPr>
          <w:rFonts w:cs="Arial"/>
        </w:rPr>
      </w:pPr>
      <w:r w:rsidRPr="00264768">
        <w:rPr>
          <w:rFonts w:cs="Arial"/>
        </w:rPr>
        <w:t xml:space="preserve">The Central Schools Services Block is split into funding for historic commitments and funding for ongoing responsibilities. The ongoing responsibilities element is based on a formula, with unit values being increased by circa </w:t>
      </w:r>
      <w:r w:rsidR="00A31E2C" w:rsidRPr="00264768">
        <w:rPr>
          <w:rFonts w:cs="Arial"/>
        </w:rPr>
        <w:t xml:space="preserve">2% for </w:t>
      </w:r>
      <w:r w:rsidR="00264768">
        <w:rPr>
          <w:rFonts w:cs="Arial"/>
        </w:rPr>
        <w:t>20</w:t>
      </w:r>
      <w:r w:rsidR="00A31E2C" w:rsidRPr="00264768">
        <w:rPr>
          <w:rFonts w:cs="Arial"/>
        </w:rPr>
        <w:t>23/24</w:t>
      </w:r>
      <w:r w:rsidR="00F1779A">
        <w:rPr>
          <w:rFonts w:cs="Arial"/>
        </w:rPr>
        <w:t>.</w:t>
      </w:r>
    </w:p>
    <w:p w14:paraId="3F7C2A96" w14:textId="77777777" w:rsidR="000A13C3" w:rsidRPr="00264768" w:rsidRDefault="000A13C3" w:rsidP="000A13C3">
      <w:pPr>
        <w:jc w:val="both"/>
        <w:rPr>
          <w:rFonts w:cs="Arial"/>
        </w:rPr>
      </w:pPr>
    </w:p>
    <w:p w14:paraId="197A86AD" w14:textId="77777777" w:rsidR="000A13C3" w:rsidRPr="00264768" w:rsidRDefault="00147B55" w:rsidP="000A13C3">
      <w:pPr>
        <w:jc w:val="both"/>
        <w:rPr>
          <w:rFonts w:cs="Arial"/>
        </w:rPr>
      </w:pPr>
      <w:r w:rsidRPr="00264768">
        <w:rPr>
          <w:rFonts w:cs="Arial"/>
        </w:rPr>
        <w:t>The Historic Commitments element of the allocation has been reduced by 2</w:t>
      </w:r>
      <w:r w:rsidR="00AA6AB9" w:rsidRPr="00264768">
        <w:rPr>
          <w:rFonts w:cs="Arial"/>
        </w:rPr>
        <w:t>0</w:t>
      </w:r>
      <w:r w:rsidRPr="00264768">
        <w:rPr>
          <w:rFonts w:cs="Arial"/>
        </w:rPr>
        <w:t xml:space="preserve">% compared to 2022/23, as the Department for Education indicate that they will continue to 'unwind' historic commitments over time.  </w:t>
      </w:r>
    </w:p>
    <w:p w14:paraId="22FFE377" w14:textId="6EF5802E" w:rsidR="00333B47" w:rsidRPr="00264768" w:rsidRDefault="00147B55" w:rsidP="000A13C3">
      <w:pPr>
        <w:jc w:val="both"/>
        <w:rPr>
          <w:rFonts w:cs="Arial"/>
        </w:rPr>
      </w:pPr>
      <w:r w:rsidRPr="00264768">
        <w:rPr>
          <w:rFonts w:cs="Arial"/>
        </w:rPr>
        <w:lastRenderedPageBreak/>
        <w:t>The total Lancashire's Central Schools Services Block allocation for 2023/24 is £6,</w:t>
      </w:r>
      <w:r w:rsidR="00292C6B" w:rsidRPr="00264768">
        <w:rPr>
          <w:rFonts w:cs="Arial"/>
        </w:rPr>
        <w:t>810,265</w:t>
      </w:r>
      <w:r w:rsidRPr="00264768">
        <w:rPr>
          <w:rFonts w:cs="Arial"/>
        </w:rPr>
        <w:t xml:space="preserve">. This is </w:t>
      </w:r>
      <w:r w:rsidR="00292C6B" w:rsidRPr="00264768">
        <w:rPr>
          <w:rFonts w:cs="Arial"/>
        </w:rPr>
        <w:t>a reduction of £</w:t>
      </w:r>
      <w:r w:rsidR="00833E58">
        <w:rPr>
          <w:rFonts w:cs="Arial"/>
        </w:rPr>
        <w:t xml:space="preserve"> 0.02 million</w:t>
      </w:r>
      <w:r w:rsidR="00292C6B" w:rsidRPr="00264768">
        <w:rPr>
          <w:rFonts w:cs="Arial"/>
        </w:rPr>
        <w:t xml:space="preserve"> compared to </w:t>
      </w:r>
      <w:r w:rsidR="00264768">
        <w:rPr>
          <w:rFonts w:cs="Arial"/>
        </w:rPr>
        <w:t>20</w:t>
      </w:r>
      <w:r w:rsidR="00292C6B" w:rsidRPr="00264768">
        <w:rPr>
          <w:rFonts w:cs="Arial"/>
        </w:rPr>
        <w:t xml:space="preserve">22/23. This is due to the increase in </w:t>
      </w:r>
      <w:r w:rsidRPr="00264768">
        <w:rPr>
          <w:rFonts w:cs="Arial"/>
        </w:rPr>
        <w:t>Ongoing Responsibilities allocation less the Historic Commitment reduction</w:t>
      </w:r>
      <w:r w:rsidR="000D0FA1">
        <w:rPr>
          <w:rFonts w:cs="Arial"/>
        </w:rPr>
        <w:t>.</w:t>
      </w:r>
      <w:r w:rsidRPr="00264768">
        <w:rPr>
          <w:rFonts w:cs="Arial"/>
        </w:rPr>
        <w:t xml:space="preserve"> </w:t>
      </w:r>
    </w:p>
    <w:p w14:paraId="4DC618E2" w14:textId="77777777" w:rsidR="00333B47" w:rsidRPr="00264768" w:rsidRDefault="00333B47" w:rsidP="000A13C3">
      <w:pPr>
        <w:jc w:val="both"/>
        <w:rPr>
          <w:rFonts w:cs="Arial"/>
        </w:rPr>
      </w:pPr>
    </w:p>
    <w:p w14:paraId="43B568F9" w14:textId="77777777" w:rsidR="000A13C3" w:rsidRPr="00264768" w:rsidRDefault="00147B55" w:rsidP="000A13C3">
      <w:pPr>
        <w:jc w:val="both"/>
        <w:rPr>
          <w:rFonts w:cs="Arial"/>
          <w:b/>
        </w:rPr>
      </w:pPr>
      <w:r w:rsidRPr="00264768">
        <w:rPr>
          <w:rFonts w:cs="Arial"/>
          <w:b/>
        </w:rPr>
        <w:t>In Year Adjustments</w:t>
      </w:r>
    </w:p>
    <w:p w14:paraId="2188EE41" w14:textId="77777777" w:rsidR="000A13C3" w:rsidRPr="00264768" w:rsidRDefault="00147B55" w:rsidP="000A13C3">
      <w:pPr>
        <w:jc w:val="both"/>
        <w:rPr>
          <w:rFonts w:cs="Arial"/>
        </w:rPr>
      </w:pPr>
      <w:r w:rsidRPr="00264768">
        <w:rPr>
          <w:rFonts w:cs="Arial"/>
        </w:rPr>
        <w:t xml:space="preserve">The Dedicated Schools Grant allocation notified is </w:t>
      </w:r>
      <w:r w:rsidR="00833E58">
        <w:rPr>
          <w:rFonts w:cs="Arial"/>
        </w:rPr>
        <w:t>before</w:t>
      </w:r>
      <w:r w:rsidRPr="00264768">
        <w:rPr>
          <w:rFonts w:cs="Arial"/>
        </w:rPr>
        <w:t xml:space="preserve"> in year adjustments for:</w:t>
      </w:r>
    </w:p>
    <w:p w14:paraId="1D28E644" w14:textId="77777777" w:rsidR="000A13C3" w:rsidRPr="00264768" w:rsidRDefault="000A13C3" w:rsidP="000A13C3">
      <w:pPr>
        <w:jc w:val="both"/>
        <w:rPr>
          <w:rFonts w:cs="Arial"/>
        </w:rPr>
      </w:pPr>
    </w:p>
    <w:p w14:paraId="45169073" w14:textId="77777777" w:rsidR="000A13C3" w:rsidRPr="00264768" w:rsidRDefault="00147B55" w:rsidP="000A13C3">
      <w:pPr>
        <w:numPr>
          <w:ilvl w:val="0"/>
          <w:numId w:val="1"/>
        </w:numPr>
        <w:contextualSpacing/>
        <w:jc w:val="both"/>
        <w:rPr>
          <w:rFonts w:cs="Arial"/>
        </w:rPr>
      </w:pPr>
      <w:r w:rsidRPr="00264768">
        <w:rPr>
          <w:rFonts w:cs="Arial"/>
        </w:rPr>
        <w:t xml:space="preserve">Academies recoupment from the </w:t>
      </w:r>
      <w:r w:rsidR="00422940" w:rsidRPr="00264768">
        <w:rPr>
          <w:rFonts w:cs="Arial"/>
        </w:rPr>
        <w:t>school's</w:t>
      </w:r>
      <w:r w:rsidRPr="00264768">
        <w:rPr>
          <w:rFonts w:cs="Arial"/>
        </w:rPr>
        <w:t xml:space="preserve"> </w:t>
      </w:r>
      <w:r w:rsidR="00422940" w:rsidRPr="00264768">
        <w:rPr>
          <w:rFonts w:cs="Arial"/>
        </w:rPr>
        <w:t>block.</w:t>
      </w:r>
    </w:p>
    <w:p w14:paraId="0DB06C23" w14:textId="77777777" w:rsidR="000A13C3" w:rsidRPr="00264768" w:rsidRDefault="00147B55" w:rsidP="000A13C3">
      <w:pPr>
        <w:numPr>
          <w:ilvl w:val="0"/>
          <w:numId w:val="1"/>
        </w:numPr>
        <w:contextualSpacing/>
        <w:jc w:val="both"/>
        <w:rPr>
          <w:rFonts w:cs="Arial"/>
        </w:rPr>
      </w:pPr>
      <w:r w:rsidRPr="00264768">
        <w:rPr>
          <w:rFonts w:cs="Arial"/>
        </w:rPr>
        <w:t xml:space="preserve">Deductions for </w:t>
      </w:r>
      <w:r w:rsidR="00833E58">
        <w:rPr>
          <w:rFonts w:cs="Arial"/>
        </w:rPr>
        <w:t>high-needs</w:t>
      </w:r>
      <w:r w:rsidRPr="00264768">
        <w:rPr>
          <w:rFonts w:cs="Arial"/>
        </w:rPr>
        <w:t xml:space="preserve"> places in academies and non-maintained special </w:t>
      </w:r>
      <w:r w:rsidR="00422940" w:rsidRPr="00264768">
        <w:rPr>
          <w:rFonts w:cs="Arial"/>
        </w:rPr>
        <w:t>schools.</w:t>
      </w:r>
    </w:p>
    <w:p w14:paraId="443144D2" w14:textId="77777777" w:rsidR="000A13C3" w:rsidRPr="00264768" w:rsidRDefault="00147B55" w:rsidP="000A13C3">
      <w:pPr>
        <w:numPr>
          <w:ilvl w:val="0"/>
          <w:numId w:val="1"/>
        </w:numPr>
        <w:contextualSpacing/>
        <w:jc w:val="both"/>
        <w:rPr>
          <w:rFonts w:cs="Arial"/>
        </w:rPr>
      </w:pPr>
      <w:r w:rsidRPr="00264768">
        <w:rPr>
          <w:rFonts w:cs="Arial"/>
        </w:rPr>
        <w:t xml:space="preserve">Post 16 </w:t>
      </w:r>
      <w:r w:rsidR="00422940" w:rsidRPr="00264768">
        <w:rPr>
          <w:rFonts w:cs="Arial"/>
        </w:rPr>
        <w:t>places.</w:t>
      </w:r>
    </w:p>
    <w:p w14:paraId="3129F86B" w14:textId="77777777" w:rsidR="000A13C3" w:rsidRPr="00264768" w:rsidRDefault="00147B55" w:rsidP="000A13C3">
      <w:pPr>
        <w:numPr>
          <w:ilvl w:val="0"/>
          <w:numId w:val="1"/>
        </w:numPr>
        <w:contextualSpacing/>
        <w:jc w:val="both"/>
        <w:rPr>
          <w:rFonts w:cs="Arial"/>
        </w:rPr>
      </w:pPr>
      <w:r w:rsidRPr="00264768">
        <w:rPr>
          <w:rFonts w:cs="Arial"/>
        </w:rPr>
        <w:t xml:space="preserve">Deduction for national copyright </w:t>
      </w:r>
      <w:r w:rsidR="00422940" w:rsidRPr="00264768">
        <w:rPr>
          <w:rFonts w:cs="Arial"/>
        </w:rPr>
        <w:t>licences.</w:t>
      </w:r>
    </w:p>
    <w:p w14:paraId="322BE954" w14:textId="77777777" w:rsidR="000A13C3" w:rsidRPr="00264768" w:rsidRDefault="00147B55" w:rsidP="000A13C3">
      <w:pPr>
        <w:numPr>
          <w:ilvl w:val="0"/>
          <w:numId w:val="1"/>
        </w:numPr>
        <w:contextualSpacing/>
        <w:jc w:val="both"/>
        <w:rPr>
          <w:rFonts w:cs="Arial"/>
        </w:rPr>
      </w:pPr>
      <w:r w:rsidRPr="00264768">
        <w:rPr>
          <w:rFonts w:eastAsia="Calibri" w:cs="Arial"/>
          <w:color w:val="0D0D0D"/>
          <w:lang w:eastAsia="en-US"/>
        </w:rPr>
        <w:t xml:space="preserve">Deduction for </w:t>
      </w:r>
      <w:r w:rsidR="00422940" w:rsidRPr="00264768">
        <w:rPr>
          <w:rFonts w:eastAsia="Calibri" w:cs="Arial"/>
          <w:color w:val="0D0D0D"/>
          <w:lang w:eastAsia="en-US"/>
        </w:rPr>
        <w:t>schools'</w:t>
      </w:r>
      <w:r w:rsidRPr="00264768">
        <w:rPr>
          <w:rFonts w:eastAsia="Calibri" w:cs="Arial"/>
          <w:color w:val="0D0D0D"/>
          <w:lang w:eastAsia="en-US"/>
        </w:rPr>
        <w:t xml:space="preserve"> business rates</w:t>
      </w:r>
      <w:r w:rsidR="00833E58">
        <w:rPr>
          <w:rFonts w:eastAsia="Calibri" w:cs="Arial"/>
          <w:color w:val="0D0D0D"/>
          <w:lang w:eastAsia="en-US"/>
        </w:rPr>
        <w:t>.</w:t>
      </w:r>
    </w:p>
    <w:p w14:paraId="59A307CB" w14:textId="77777777" w:rsidR="000A13C3" w:rsidRPr="00264768" w:rsidRDefault="00147B55" w:rsidP="000A13C3">
      <w:pPr>
        <w:numPr>
          <w:ilvl w:val="0"/>
          <w:numId w:val="1"/>
        </w:numPr>
        <w:contextualSpacing/>
        <w:jc w:val="both"/>
        <w:rPr>
          <w:rFonts w:cs="Arial"/>
        </w:rPr>
      </w:pPr>
      <w:r w:rsidRPr="00264768">
        <w:rPr>
          <w:rFonts w:cs="Arial"/>
        </w:rPr>
        <w:t xml:space="preserve">Updates to the funding for </w:t>
      </w:r>
      <w:r w:rsidR="00422940" w:rsidRPr="00264768">
        <w:rPr>
          <w:rFonts w:cs="Arial"/>
        </w:rPr>
        <w:t xml:space="preserve">three- and </w:t>
      </w:r>
      <w:r w:rsidR="00833E58">
        <w:rPr>
          <w:rFonts w:cs="Arial"/>
        </w:rPr>
        <w:t>four-year-olds</w:t>
      </w:r>
      <w:r w:rsidR="00422940" w:rsidRPr="00264768">
        <w:rPr>
          <w:rFonts w:cs="Arial"/>
        </w:rPr>
        <w:t>.</w:t>
      </w:r>
    </w:p>
    <w:p w14:paraId="5E6ECD23" w14:textId="77777777" w:rsidR="000A13C3" w:rsidRPr="00264768" w:rsidRDefault="00147B55" w:rsidP="000A13C3">
      <w:pPr>
        <w:numPr>
          <w:ilvl w:val="0"/>
          <w:numId w:val="1"/>
        </w:numPr>
        <w:contextualSpacing/>
        <w:jc w:val="both"/>
        <w:rPr>
          <w:rFonts w:cs="Arial"/>
        </w:rPr>
      </w:pPr>
      <w:r w:rsidRPr="00264768">
        <w:rPr>
          <w:rFonts w:cs="Arial"/>
        </w:rPr>
        <w:t xml:space="preserve">Updates to the funding </w:t>
      </w:r>
      <w:r w:rsidR="00422940" w:rsidRPr="00264768">
        <w:rPr>
          <w:rFonts w:cs="Arial"/>
        </w:rPr>
        <w:t>two-year</w:t>
      </w:r>
      <w:r w:rsidR="00833E58">
        <w:rPr>
          <w:rFonts w:cs="Arial"/>
        </w:rPr>
        <w:t>-</w:t>
      </w:r>
      <w:r w:rsidR="00422940" w:rsidRPr="00264768">
        <w:rPr>
          <w:rFonts w:cs="Arial"/>
        </w:rPr>
        <w:t>olds.</w:t>
      </w:r>
      <w:r w:rsidRPr="00264768">
        <w:rPr>
          <w:rFonts w:cs="Arial"/>
        </w:rPr>
        <w:t xml:space="preserve"> </w:t>
      </w:r>
    </w:p>
    <w:p w14:paraId="5BC0A21D" w14:textId="77777777" w:rsidR="000A13C3" w:rsidRPr="00264768" w:rsidRDefault="00147B55" w:rsidP="000A13C3">
      <w:pPr>
        <w:numPr>
          <w:ilvl w:val="0"/>
          <w:numId w:val="1"/>
        </w:numPr>
        <w:contextualSpacing/>
        <w:jc w:val="both"/>
        <w:rPr>
          <w:rFonts w:cs="Arial"/>
        </w:rPr>
      </w:pPr>
      <w:r w:rsidRPr="00264768">
        <w:rPr>
          <w:rFonts w:cs="Arial"/>
        </w:rPr>
        <w:t xml:space="preserve">Updates to the early years supplementary funding for maintained nursery </w:t>
      </w:r>
      <w:r w:rsidR="00422940" w:rsidRPr="00264768">
        <w:rPr>
          <w:rFonts w:cs="Arial"/>
        </w:rPr>
        <w:t>school.</w:t>
      </w:r>
    </w:p>
    <w:p w14:paraId="081809AE" w14:textId="77777777" w:rsidR="000A13C3" w:rsidRPr="00264768" w:rsidRDefault="00147B55" w:rsidP="000A13C3">
      <w:pPr>
        <w:numPr>
          <w:ilvl w:val="0"/>
          <w:numId w:val="1"/>
        </w:numPr>
        <w:contextualSpacing/>
        <w:jc w:val="both"/>
        <w:rPr>
          <w:rFonts w:cs="Arial"/>
        </w:rPr>
      </w:pPr>
      <w:r w:rsidRPr="00264768">
        <w:rPr>
          <w:rFonts w:cs="Arial"/>
        </w:rPr>
        <w:t xml:space="preserve">Updates to the early </w:t>
      </w:r>
      <w:r w:rsidR="00422940" w:rsidRPr="00264768">
        <w:rPr>
          <w:rFonts w:cs="Arial"/>
        </w:rPr>
        <w:t>year's</w:t>
      </w:r>
      <w:r w:rsidRPr="00264768">
        <w:rPr>
          <w:rFonts w:cs="Arial"/>
        </w:rPr>
        <w:t xml:space="preserve"> pupil </w:t>
      </w:r>
      <w:r w:rsidR="00422940" w:rsidRPr="00264768">
        <w:rPr>
          <w:rFonts w:cs="Arial"/>
        </w:rPr>
        <w:t>premium.</w:t>
      </w:r>
      <w:r w:rsidRPr="00264768">
        <w:rPr>
          <w:rFonts w:cs="Arial"/>
        </w:rPr>
        <w:t xml:space="preserve"> </w:t>
      </w:r>
    </w:p>
    <w:p w14:paraId="1D381534" w14:textId="77777777" w:rsidR="000A13C3" w:rsidRPr="00264768" w:rsidRDefault="00147B55" w:rsidP="000A13C3">
      <w:pPr>
        <w:numPr>
          <w:ilvl w:val="0"/>
          <w:numId w:val="1"/>
        </w:numPr>
        <w:contextualSpacing/>
        <w:jc w:val="both"/>
        <w:rPr>
          <w:rFonts w:cs="Arial"/>
        </w:rPr>
      </w:pPr>
      <w:r w:rsidRPr="00264768">
        <w:rPr>
          <w:rFonts w:cs="Arial"/>
        </w:rPr>
        <w:t>Updates to early years Disability Access Fund.</w:t>
      </w:r>
    </w:p>
    <w:p w14:paraId="0B924030" w14:textId="77777777" w:rsidR="007A1ADC" w:rsidRPr="00264768" w:rsidRDefault="007A1ADC" w:rsidP="000A13C3">
      <w:pPr>
        <w:jc w:val="both"/>
        <w:rPr>
          <w:rFonts w:cs="Arial"/>
          <w:b/>
          <w:highlight w:val="yellow"/>
        </w:rPr>
      </w:pPr>
    </w:p>
    <w:p w14:paraId="04B5322E" w14:textId="77777777" w:rsidR="000A13C3" w:rsidRPr="00264768" w:rsidRDefault="00147B55" w:rsidP="000A13C3">
      <w:pPr>
        <w:jc w:val="both"/>
        <w:rPr>
          <w:rFonts w:cs="Arial"/>
          <w:b/>
          <w:u w:val="single"/>
        </w:rPr>
      </w:pPr>
      <w:r w:rsidRPr="00264768">
        <w:rPr>
          <w:rFonts w:cs="Arial"/>
          <w:b/>
          <w:u w:val="single"/>
        </w:rPr>
        <w:t>Mainstream Schools Annual Grant 2023/24</w:t>
      </w:r>
    </w:p>
    <w:p w14:paraId="3652BFCA" w14:textId="77777777" w:rsidR="00235A19" w:rsidRPr="00264768" w:rsidRDefault="00147B55" w:rsidP="00235A19">
      <w:pPr>
        <w:jc w:val="both"/>
        <w:rPr>
          <w:rFonts w:cs="Arial"/>
          <w:bCs/>
        </w:rPr>
      </w:pPr>
      <w:r w:rsidRPr="00264768">
        <w:rPr>
          <w:rFonts w:cs="Arial"/>
          <w:bCs/>
        </w:rPr>
        <w:t xml:space="preserve">The 2022 Autumn Statement announced that the core </w:t>
      </w:r>
      <w:r w:rsidR="00FD0656" w:rsidRPr="00264768">
        <w:rPr>
          <w:rFonts w:cs="Arial"/>
          <w:bCs/>
        </w:rPr>
        <w:t>schools'</w:t>
      </w:r>
      <w:r w:rsidRPr="00264768">
        <w:rPr>
          <w:rFonts w:cs="Arial"/>
          <w:bCs/>
        </w:rPr>
        <w:t xml:space="preserve"> budget will increase by </w:t>
      </w:r>
      <w:r w:rsidR="0088275C" w:rsidRPr="00264768">
        <w:rPr>
          <w:rFonts w:cs="Arial"/>
          <w:bCs/>
        </w:rPr>
        <w:t xml:space="preserve">over </w:t>
      </w:r>
      <w:r w:rsidRPr="00264768">
        <w:rPr>
          <w:rFonts w:cs="Arial"/>
          <w:bCs/>
        </w:rPr>
        <w:t>£2bn in 2023 to 2024 financial year, over and above totals announced at the Spending Review 2021.</w:t>
      </w:r>
    </w:p>
    <w:p w14:paraId="1F948140" w14:textId="77777777" w:rsidR="00235A19" w:rsidRPr="00264768" w:rsidRDefault="00235A19" w:rsidP="00235A19">
      <w:pPr>
        <w:jc w:val="both"/>
        <w:rPr>
          <w:rFonts w:cs="Arial"/>
          <w:bCs/>
        </w:rPr>
      </w:pPr>
    </w:p>
    <w:p w14:paraId="1F2F3810" w14:textId="77777777" w:rsidR="00235A19" w:rsidRPr="00264768" w:rsidRDefault="00147B55" w:rsidP="00235A19">
      <w:pPr>
        <w:jc w:val="both"/>
        <w:rPr>
          <w:rFonts w:cs="Arial"/>
          <w:bCs/>
        </w:rPr>
      </w:pPr>
      <w:r w:rsidRPr="00264768">
        <w:rPr>
          <w:rFonts w:cs="Arial"/>
          <w:bCs/>
        </w:rPr>
        <w:t xml:space="preserve">In </w:t>
      </w:r>
      <w:r w:rsidR="00F1779A">
        <w:rPr>
          <w:rFonts w:cs="Arial"/>
          <w:bCs/>
        </w:rPr>
        <w:t xml:space="preserve">the </w:t>
      </w:r>
      <w:r w:rsidRPr="00264768">
        <w:rPr>
          <w:rFonts w:cs="Arial"/>
          <w:bCs/>
        </w:rPr>
        <w:t xml:space="preserve">2023 to 2024 financial year, mainstream schools will be allocated additional funding through the mainstream </w:t>
      </w:r>
      <w:r w:rsidR="00FD0656" w:rsidRPr="00264768">
        <w:rPr>
          <w:rFonts w:cs="Arial"/>
          <w:bCs/>
        </w:rPr>
        <w:t>school's</w:t>
      </w:r>
      <w:r w:rsidRPr="00264768">
        <w:rPr>
          <w:rFonts w:cs="Arial"/>
          <w:bCs/>
        </w:rPr>
        <w:t xml:space="preserve"> additional grant (MSAG</w:t>
      </w:r>
      <w:r w:rsidR="00F1779A">
        <w:rPr>
          <w:rFonts w:cs="Arial"/>
          <w:bCs/>
        </w:rPr>
        <w:t>)</w:t>
      </w:r>
      <w:r w:rsidRPr="00264768">
        <w:rPr>
          <w:rFonts w:cs="Arial"/>
          <w:bCs/>
        </w:rPr>
        <w:t>. This is in addition to schools’ allocations through the schools national funding formula</w:t>
      </w:r>
      <w:r w:rsidR="00F1779A">
        <w:rPr>
          <w:rFonts w:cs="Arial"/>
          <w:bCs/>
        </w:rPr>
        <w:t>.</w:t>
      </w:r>
    </w:p>
    <w:p w14:paraId="7186800C" w14:textId="77777777" w:rsidR="006D478D" w:rsidRPr="00264768" w:rsidRDefault="006D478D" w:rsidP="000A13C3">
      <w:pPr>
        <w:jc w:val="both"/>
        <w:rPr>
          <w:rFonts w:cs="Arial"/>
          <w:highlight w:val="yellow"/>
        </w:rPr>
      </w:pPr>
    </w:p>
    <w:p w14:paraId="4FEB3C14" w14:textId="77777777" w:rsidR="006D478D" w:rsidRPr="00264768" w:rsidRDefault="00147B55" w:rsidP="000A13C3">
      <w:pPr>
        <w:jc w:val="both"/>
        <w:rPr>
          <w:rFonts w:cs="Arial"/>
          <w:bCs/>
        </w:rPr>
      </w:pPr>
      <w:r w:rsidRPr="00264768">
        <w:rPr>
          <w:rFonts w:cs="Arial"/>
          <w:bCs/>
        </w:rPr>
        <w:t xml:space="preserve">The MSAG will allocate funding to state-funded mainstream schools only. In addition to the MSAG, local authorities have been allocated £400 m </w:t>
      </w:r>
      <w:r w:rsidR="00F1779A">
        <w:rPr>
          <w:rFonts w:cs="Arial"/>
          <w:bCs/>
        </w:rPr>
        <w:t xml:space="preserve">in </w:t>
      </w:r>
      <w:r w:rsidRPr="00264768">
        <w:rPr>
          <w:rFonts w:cs="Arial"/>
          <w:bCs/>
        </w:rPr>
        <w:t xml:space="preserve">additional </w:t>
      </w:r>
      <w:r w:rsidR="00F1779A">
        <w:rPr>
          <w:rFonts w:cs="Arial"/>
          <w:bCs/>
        </w:rPr>
        <w:t>high-needs</w:t>
      </w:r>
      <w:r w:rsidRPr="00264768">
        <w:rPr>
          <w:rFonts w:cs="Arial"/>
          <w:bCs/>
        </w:rPr>
        <w:t xml:space="preserve"> funding for 2023</w:t>
      </w:r>
      <w:r w:rsidR="00F1779A">
        <w:rPr>
          <w:rFonts w:cs="Arial"/>
          <w:bCs/>
        </w:rPr>
        <w:t>/</w:t>
      </w:r>
      <w:r w:rsidRPr="00264768">
        <w:rPr>
          <w:rFonts w:cs="Arial"/>
          <w:bCs/>
        </w:rPr>
        <w:t xml:space="preserve">24, </w:t>
      </w:r>
      <w:r w:rsidR="002540C6" w:rsidRPr="00264768">
        <w:rPr>
          <w:rFonts w:cs="Arial"/>
          <w:bCs/>
        </w:rPr>
        <w:t xml:space="preserve">which will be included in the </w:t>
      </w:r>
      <w:r w:rsidR="00F1779A">
        <w:rPr>
          <w:rFonts w:cs="Arial"/>
          <w:bCs/>
        </w:rPr>
        <w:t>high-needs</w:t>
      </w:r>
      <w:r w:rsidRPr="00264768">
        <w:rPr>
          <w:rFonts w:cs="Arial"/>
          <w:bCs/>
        </w:rPr>
        <w:t xml:space="preserve"> national funding formula allocations</w:t>
      </w:r>
      <w:r w:rsidR="00F1779A">
        <w:rPr>
          <w:rFonts w:cs="Arial"/>
          <w:bCs/>
        </w:rPr>
        <w:t>.</w:t>
      </w:r>
    </w:p>
    <w:p w14:paraId="0E6C9E84" w14:textId="77777777" w:rsidR="00DD147D" w:rsidRPr="00264768" w:rsidRDefault="00147B55" w:rsidP="00DD147D">
      <w:pPr>
        <w:shd w:val="clear" w:color="auto" w:fill="FFFFFF"/>
        <w:spacing w:before="300" w:after="300"/>
        <w:rPr>
          <w:rFonts w:cs="Arial"/>
          <w:bCs/>
        </w:rPr>
      </w:pPr>
      <w:r w:rsidRPr="00264768">
        <w:rPr>
          <w:rFonts w:cs="Arial"/>
          <w:bCs/>
        </w:rPr>
        <w:t>The MSAG will fund the following providers, for the 5 to 16-year-old age range:</w:t>
      </w:r>
    </w:p>
    <w:p w14:paraId="7809D9DC" w14:textId="77777777" w:rsidR="00DD147D" w:rsidRPr="00264768" w:rsidRDefault="00147B55" w:rsidP="00DD147D">
      <w:pPr>
        <w:numPr>
          <w:ilvl w:val="0"/>
          <w:numId w:val="18"/>
        </w:numPr>
        <w:shd w:val="clear" w:color="auto" w:fill="FFFFFF"/>
        <w:ind w:left="1020"/>
        <w:rPr>
          <w:rFonts w:cs="Arial"/>
          <w:bCs/>
        </w:rPr>
      </w:pPr>
      <w:r w:rsidRPr="00264768">
        <w:rPr>
          <w:rFonts w:cs="Arial"/>
          <w:bCs/>
        </w:rPr>
        <w:t>primary and secondary maintained schools</w:t>
      </w:r>
    </w:p>
    <w:p w14:paraId="2CF7B7B2" w14:textId="77777777" w:rsidR="00DD147D" w:rsidRPr="00264768" w:rsidRDefault="00147B55" w:rsidP="00DD147D">
      <w:pPr>
        <w:numPr>
          <w:ilvl w:val="0"/>
          <w:numId w:val="18"/>
        </w:numPr>
        <w:shd w:val="clear" w:color="auto" w:fill="FFFFFF"/>
        <w:ind w:left="1020"/>
        <w:rPr>
          <w:rFonts w:cs="Arial"/>
          <w:bCs/>
        </w:rPr>
      </w:pPr>
      <w:r w:rsidRPr="00264768">
        <w:rPr>
          <w:rFonts w:cs="Arial"/>
          <w:bCs/>
        </w:rPr>
        <w:t>primary and secondary academies and free schools</w:t>
      </w:r>
    </w:p>
    <w:p w14:paraId="364EFB5C" w14:textId="77777777" w:rsidR="00DD147D" w:rsidRPr="00264768" w:rsidRDefault="00147B55" w:rsidP="00DD147D">
      <w:pPr>
        <w:numPr>
          <w:ilvl w:val="0"/>
          <w:numId w:val="18"/>
        </w:numPr>
        <w:shd w:val="clear" w:color="auto" w:fill="FFFFFF"/>
        <w:ind w:left="1020"/>
        <w:rPr>
          <w:rFonts w:cs="Arial"/>
          <w:bCs/>
        </w:rPr>
      </w:pPr>
      <w:r w:rsidRPr="00264768">
        <w:rPr>
          <w:rFonts w:cs="Arial"/>
          <w:bCs/>
        </w:rPr>
        <w:t>all-through maintained schools</w:t>
      </w:r>
    </w:p>
    <w:p w14:paraId="0F0DCE25" w14:textId="77777777" w:rsidR="00DD147D" w:rsidRPr="00264768" w:rsidRDefault="00147B55" w:rsidP="00DD147D">
      <w:pPr>
        <w:numPr>
          <w:ilvl w:val="0"/>
          <w:numId w:val="18"/>
        </w:numPr>
        <w:shd w:val="clear" w:color="auto" w:fill="FFFFFF"/>
        <w:ind w:left="1020"/>
        <w:rPr>
          <w:rFonts w:cs="Arial"/>
          <w:bCs/>
        </w:rPr>
      </w:pPr>
      <w:r w:rsidRPr="00264768">
        <w:rPr>
          <w:rFonts w:cs="Arial"/>
          <w:bCs/>
        </w:rPr>
        <w:t>all-through academies</w:t>
      </w:r>
    </w:p>
    <w:p w14:paraId="1FAA0D20" w14:textId="77777777" w:rsidR="006D478D" w:rsidRPr="00264768" w:rsidRDefault="00147B55" w:rsidP="00264768">
      <w:pPr>
        <w:numPr>
          <w:ilvl w:val="0"/>
          <w:numId w:val="18"/>
        </w:numPr>
        <w:shd w:val="clear" w:color="auto" w:fill="FFFFFF"/>
        <w:ind w:left="1020"/>
        <w:rPr>
          <w:rFonts w:cs="Arial"/>
          <w:bCs/>
        </w:rPr>
      </w:pPr>
      <w:r w:rsidRPr="00264768">
        <w:rPr>
          <w:rFonts w:cs="Arial"/>
          <w:bCs/>
        </w:rPr>
        <w:t>city technology colleges</w:t>
      </w:r>
    </w:p>
    <w:p w14:paraId="59C65A7E" w14:textId="77777777" w:rsidR="006D478D" w:rsidRPr="00264768" w:rsidRDefault="006D478D" w:rsidP="000A13C3">
      <w:pPr>
        <w:jc w:val="both"/>
        <w:rPr>
          <w:rFonts w:cs="Arial"/>
          <w:bCs/>
        </w:rPr>
      </w:pPr>
    </w:p>
    <w:p w14:paraId="298A73C2" w14:textId="77777777" w:rsidR="00F36FFB" w:rsidRPr="00264768" w:rsidRDefault="00147B55" w:rsidP="000A13C3">
      <w:pPr>
        <w:jc w:val="both"/>
        <w:rPr>
          <w:rFonts w:cs="Arial"/>
          <w:bCs/>
        </w:rPr>
      </w:pPr>
      <w:r w:rsidRPr="00264768">
        <w:rPr>
          <w:rFonts w:cs="Arial"/>
          <w:bCs/>
        </w:rPr>
        <w:t>School-level allocations of the MSAG for the full 2023 to 2024 financial year will be published in May 2023.</w:t>
      </w:r>
    </w:p>
    <w:p w14:paraId="3F87A71A" w14:textId="77777777" w:rsidR="005F038B" w:rsidRPr="00264768" w:rsidRDefault="00147B55" w:rsidP="005F038B">
      <w:pPr>
        <w:shd w:val="clear" w:color="auto" w:fill="FFFFFF"/>
        <w:spacing w:before="300" w:after="300"/>
        <w:rPr>
          <w:rFonts w:cs="Arial"/>
          <w:bCs/>
        </w:rPr>
      </w:pPr>
      <w:r w:rsidRPr="00264768">
        <w:rPr>
          <w:rFonts w:cs="Arial"/>
          <w:bCs/>
        </w:rPr>
        <w:t xml:space="preserve">The funding rates </w:t>
      </w:r>
      <w:r w:rsidR="00ED2495" w:rsidRPr="00264768">
        <w:rPr>
          <w:rFonts w:cs="Arial"/>
          <w:bCs/>
        </w:rPr>
        <w:t xml:space="preserve">for the MSAG </w:t>
      </w:r>
      <w:r w:rsidR="00264768">
        <w:rPr>
          <w:rFonts w:cs="Arial"/>
          <w:bCs/>
        </w:rPr>
        <w:t>20</w:t>
      </w:r>
      <w:r w:rsidR="00ED2495" w:rsidRPr="00264768">
        <w:rPr>
          <w:rFonts w:cs="Arial"/>
          <w:bCs/>
        </w:rPr>
        <w:t xml:space="preserve">23/24 </w:t>
      </w:r>
      <w:r w:rsidRPr="00264768">
        <w:rPr>
          <w:rFonts w:cs="Arial"/>
          <w:bCs/>
        </w:rPr>
        <w:t>consist of the following 3 elements, which are based on factors already in the schools national funding formula:</w:t>
      </w:r>
    </w:p>
    <w:p w14:paraId="5222712D" w14:textId="77777777" w:rsidR="005F038B" w:rsidRPr="00264768" w:rsidRDefault="00147B55" w:rsidP="005F038B">
      <w:pPr>
        <w:numPr>
          <w:ilvl w:val="0"/>
          <w:numId w:val="19"/>
        </w:numPr>
        <w:shd w:val="clear" w:color="auto" w:fill="FFFFFF"/>
        <w:ind w:left="1020"/>
        <w:rPr>
          <w:rFonts w:cs="Arial"/>
          <w:bCs/>
        </w:rPr>
      </w:pPr>
      <w:r w:rsidRPr="00264768">
        <w:rPr>
          <w:rFonts w:cs="Arial"/>
          <w:bCs/>
        </w:rPr>
        <w:t>a basic per-pupil rate (with different rates for primary, key stage 3 and key stage 4)</w:t>
      </w:r>
      <w:r>
        <w:rPr>
          <w:rFonts w:cs="Arial"/>
          <w:bCs/>
        </w:rPr>
        <w:t>;</w:t>
      </w:r>
    </w:p>
    <w:p w14:paraId="0E5CB84C" w14:textId="77777777" w:rsidR="005F038B" w:rsidRPr="00264768" w:rsidRDefault="00147B55" w:rsidP="005F038B">
      <w:pPr>
        <w:numPr>
          <w:ilvl w:val="0"/>
          <w:numId w:val="19"/>
        </w:numPr>
        <w:shd w:val="clear" w:color="auto" w:fill="FFFFFF"/>
        <w:ind w:left="1020"/>
        <w:rPr>
          <w:rFonts w:cs="Arial"/>
          <w:bCs/>
        </w:rPr>
      </w:pPr>
      <w:r w:rsidRPr="00264768">
        <w:rPr>
          <w:rFonts w:cs="Arial"/>
          <w:bCs/>
        </w:rPr>
        <w:t>a lump sum paid to all schools, regardless of pupil numbers</w:t>
      </w:r>
      <w:r>
        <w:rPr>
          <w:rFonts w:cs="Arial"/>
          <w:bCs/>
        </w:rPr>
        <w:t>;</w:t>
      </w:r>
    </w:p>
    <w:p w14:paraId="1616F322" w14:textId="77777777" w:rsidR="00ED2495" w:rsidRPr="00264768" w:rsidRDefault="00147B55" w:rsidP="00ED2495">
      <w:pPr>
        <w:numPr>
          <w:ilvl w:val="0"/>
          <w:numId w:val="19"/>
        </w:numPr>
        <w:shd w:val="clear" w:color="auto" w:fill="FFFFFF"/>
        <w:ind w:left="1020"/>
        <w:rPr>
          <w:rFonts w:cs="Arial"/>
          <w:bCs/>
        </w:rPr>
      </w:pPr>
      <w:r w:rsidRPr="00264768">
        <w:rPr>
          <w:rFonts w:cs="Arial"/>
          <w:bCs/>
        </w:rPr>
        <w:lastRenderedPageBreak/>
        <w:t>a per-pupil rate for pupils who are recorded as having been eligible for free school meals at any point in the last six years (FSM6), with different rates for primary and secondary pupils</w:t>
      </w:r>
      <w:r>
        <w:rPr>
          <w:rFonts w:cs="Arial"/>
          <w:bCs/>
        </w:rPr>
        <w:t>.</w:t>
      </w:r>
    </w:p>
    <w:p w14:paraId="097A29AF" w14:textId="77777777" w:rsidR="00ED2495" w:rsidRPr="00264768" w:rsidRDefault="00ED2495" w:rsidP="00ED2495">
      <w:pPr>
        <w:shd w:val="clear" w:color="auto" w:fill="FFFFFF"/>
        <w:rPr>
          <w:rFonts w:cs="Arial"/>
          <w:bCs/>
        </w:rPr>
      </w:pPr>
    </w:p>
    <w:p w14:paraId="2E9DD93F" w14:textId="7C714097" w:rsidR="00ED2495" w:rsidRPr="00264768" w:rsidRDefault="00147B55" w:rsidP="00ED2495">
      <w:pPr>
        <w:shd w:val="clear" w:color="auto" w:fill="FFFFFF"/>
        <w:rPr>
          <w:rFonts w:cs="Arial"/>
          <w:bCs/>
        </w:rPr>
      </w:pPr>
      <w:r w:rsidRPr="00264768">
        <w:rPr>
          <w:rFonts w:cs="Arial"/>
          <w:bCs/>
        </w:rPr>
        <w:t xml:space="preserve">The additional High Needs Allocation for </w:t>
      </w:r>
      <w:r w:rsidR="00264768">
        <w:rPr>
          <w:rFonts w:cs="Arial"/>
          <w:bCs/>
        </w:rPr>
        <w:t>20</w:t>
      </w:r>
      <w:r w:rsidRPr="00264768">
        <w:rPr>
          <w:rFonts w:cs="Arial"/>
          <w:bCs/>
        </w:rPr>
        <w:t xml:space="preserve">23/24 has been </w:t>
      </w:r>
      <w:r w:rsidR="00F24330" w:rsidRPr="00264768">
        <w:rPr>
          <w:rFonts w:cs="Arial"/>
          <w:bCs/>
        </w:rPr>
        <w:t>applied as a 4.6% increase to the funding floor a</w:t>
      </w:r>
      <w:r w:rsidR="00FD0656" w:rsidRPr="00264768">
        <w:rPr>
          <w:rFonts w:cs="Arial"/>
          <w:bCs/>
        </w:rPr>
        <w:t>n</w:t>
      </w:r>
      <w:r w:rsidR="00F24330" w:rsidRPr="00264768">
        <w:rPr>
          <w:rFonts w:cs="Arial"/>
          <w:bCs/>
        </w:rPr>
        <w:t xml:space="preserve">d proxy </w:t>
      </w:r>
      <w:r w:rsidR="00FD0656" w:rsidRPr="00264768">
        <w:rPr>
          <w:rFonts w:cs="Arial"/>
          <w:bCs/>
        </w:rPr>
        <w:t>factor</w:t>
      </w:r>
      <w:r w:rsidR="00F24330" w:rsidRPr="00264768">
        <w:rPr>
          <w:rFonts w:cs="Arial"/>
          <w:bCs/>
        </w:rPr>
        <w:t xml:space="preserve"> in the High Needs NFF Allocations</w:t>
      </w:r>
      <w:r w:rsidR="000D0FA1">
        <w:rPr>
          <w:rFonts w:cs="Arial"/>
          <w:bCs/>
        </w:rPr>
        <w:t>.</w:t>
      </w:r>
    </w:p>
    <w:p w14:paraId="78A401FA" w14:textId="77777777" w:rsidR="000A13C3" w:rsidRPr="00264768" w:rsidRDefault="000A13C3" w:rsidP="000A13C3">
      <w:pPr>
        <w:jc w:val="both"/>
        <w:rPr>
          <w:rFonts w:cs="Arial"/>
        </w:rPr>
      </w:pPr>
    </w:p>
    <w:p w14:paraId="46ECC796" w14:textId="77777777" w:rsidR="000A13C3" w:rsidRPr="00264768" w:rsidRDefault="00147B55" w:rsidP="000A13C3">
      <w:pPr>
        <w:jc w:val="both"/>
        <w:rPr>
          <w:rFonts w:cs="Arial"/>
        </w:rPr>
      </w:pPr>
      <w:r w:rsidRPr="00264768">
        <w:rPr>
          <w:rFonts w:cs="Arial"/>
        </w:rPr>
        <w:t xml:space="preserve">Lancashire </w:t>
      </w:r>
      <w:r w:rsidR="00F24330" w:rsidRPr="00264768">
        <w:rPr>
          <w:rFonts w:cs="Arial"/>
        </w:rPr>
        <w:t>Additional funding</w:t>
      </w:r>
      <w:r w:rsidRPr="00264768">
        <w:rPr>
          <w:rFonts w:cs="Arial"/>
        </w:rPr>
        <w:t xml:space="preserve"> allocations for 2023/24 are:</w:t>
      </w:r>
    </w:p>
    <w:p w14:paraId="04B19166" w14:textId="77777777" w:rsidR="000A13C3" w:rsidRPr="00E740C8" w:rsidRDefault="000A13C3" w:rsidP="000A13C3">
      <w:pPr>
        <w:jc w:val="both"/>
        <w:rPr>
          <w:rFonts w:cs="Arial"/>
        </w:rPr>
      </w:pPr>
    </w:p>
    <w:tbl>
      <w:tblPr>
        <w:tblStyle w:val="TableGrid1"/>
        <w:tblW w:w="0" w:type="auto"/>
        <w:tblLook w:val="04A0" w:firstRow="1" w:lastRow="0" w:firstColumn="1" w:lastColumn="0" w:noHBand="0" w:noVBand="1"/>
      </w:tblPr>
      <w:tblGrid>
        <w:gridCol w:w="7083"/>
        <w:gridCol w:w="1933"/>
      </w:tblGrid>
      <w:tr w:rsidR="00CE2685" w14:paraId="1BBC7A8C" w14:textId="77777777" w:rsidTr="00E37A08">
        <w:tc>
          <w:tcPr>
            <w:tcW w:w="7083" w:type="dxa"/>
          </w:tcPr>
          <w:p w14:paraId="2B23A99B" w14:textId="77777777" w:rsidR="000A13C3" w:rsidRPr="00E740C8" w:rsidRDefault="00147B55" w:rsidP="000A13C3">
            <w:pPr>
              <w:jc w:val="both"/>
              <w:rPr>
                <w:rFonts w:ascii="Arial" w:hAnsi="Arial" w:cs="Arial"/>
                <w:sz w:val="24"/>
              </w:rPr>
            </w:pPr>
            <w:r w:rsidRPr="00E740C8">
              <w:rPr>
                <w:rFonts w:ascii="Arial" w:hAnsi="Arial" w:cs="Arial"/>
                <w:sz w:val="24"/>
              </w:rPr>
              <w:t xml:space="preserve">Mainstream Schools </w:t>
            </w:r>
            <w:r w:rsidR="005D47C9" w:rsidRPr="00E740C8">
              <w:rPr>
                <w:rFonts w:ascii="Arial" w:hAnsi="Arial" w:cs="Arial"/>
                <w:sz w:val="24"/>
              </w:rPr>
              <w:t>Additional Grant Allocation</w:t>
            </w:r>
          </w:p>
        </w:tc>
        <w:tc>
          <w:tcPr>
            <w:tcW w:w="1933" w:type="dxa"/>
          </w:tcPr>
          <w:p w14:paraId="122E77F4" w14:textId="77777777" w:rsidR="000A13C3" w:rsidRPr="00E740C8" w:rsidRDefault="00147B55" w:rsidP="000A13C3">
            <w:pPr>
              <w:jc w:val="right"/>
              <w:rPr>
                <w:rFonts w:ascii="Arial" w:hAnsi="Arial" w:cs="Arial"/>
                <w:sz w:val="24"/>
              </w:rPr>
            </w:pPr>
            <w:r w:rsidRPr="00E740C8">
              <w:rPr>
                <w:rFonts w:ascii="Arial" w:hAnsi="Arial" w:cs="Arial"/>
                <w:sz w:val="24"/>
              </w:rPr>
              <w:t>£</w:t>
            </w:r>
            <w:r w:rsidR="00DB0244" w:rsidRPr="00E740C8">
              <w:rPr>
                <w:rFonts w:ascii="Arial" w:hAnsi="Arial" w:cs="Arial"/>
                <w:sz w:val="24"/>
              </w:rPr>
              <w:t>31</w:t>
            </w:r>
            <w:r w:rsidRPr="00E740C8">
              <w:rPr>
                <w:rFonts w:ascii="Arial" w:hAnsi="Arial" w:cs="Arial"/>
                <w:sz w:val="24"/>
              </w:rPr>
              <w:t>m</w:t>
            </w:r>
          </w:p>
        </w:tc>
      </w:tr>
      <w:tr w:rsidR="00CE2685" w14:paraId="08B60AD2" w14:textId="77777777" w:rsidTr="00E37A08">
        <w:tc>
          <w:tcPr>
            <w:tcW w:w="7083" w:type="dxa"/>
          </w:tcPr>
          <w:p w14:paraId="28B61B76" w14:textId="77777777" w:rsidR="000A13C3" w:rsidRPr="00E740C8" w:rsidRDefault="00147B55" w:rsidP="000A13C3">
            <w:pPr>
              <w:jc w:val="both"/>
              <w:rPr>
                <w:rFonts w:ascii="Arial" w:hAnsi="Arial" w:cs="Arial"/>
                <w:sz w:val="24"/>
              </w:rPr>
            </w:pPr>
            <w:r w:rsidRPr="00E740C8">
              <w:rPr>
                <w:rFonts w:ascii="Arial" w:hAnsi="Arial" w:cs="Arial"/>
                <w:sz w:val="24"/>
              </w:rPr>
              <w:t xml:space="preserve">High Needs </w:t>
            </w:r>
            <w:r w:rsidR="005D47C9" w:rsidRPr="00E740C8">
              <w:rPr>
                <w:rFonts w:ascii="Arial" w:hAnsi="Arial" w:cs="Arial"/>
                <w:sz w:val="24"/>
              </w:rPr>
              <w:t>Additional Funding</w:t>
            </w:r>
            <w:r w:rsidRPr="00E740C8">
              <w:rPr>
                <w:rFonts w:ascii="Arial" w:hAnsi="Arial" w:cs="Arial"/>
                <w:sz w:val="24"/>
              </w:rPr>
              <w:t xml:space="preserve"> allocation</w:t>
            </w:r>
          </w:p>
        </w:tc>
        <w:tc>
          <w:tcPr>
            <w:tcW w:w="1933" w:type="dxa"/>
          </w:tcPr>
          <w:p w14:paraId="6D484618" w14:textId="77777777" w:rsidR="000A13C3" w:rsidRPr="00E740C8" w:rsidRDefault="00147B55" w:rsidP="000A13C3">
            <w:pPr>
              <w:jc w:val="right"/>
              <w:rPr>
                <w:rFonts w:ascii="Arial" w:hAnsi="Arial" w:cs="Arial"/>
                <w:sz w:val="24"/>
              </w:rPr>
            </w:pPr>
            <w:r w:rsidRPr="00E740C8">
              <w:rPr>
                <w:rFonts w:ascii="Arial" w:hAnsi="Arial" w:cs="Arial"/>
                <w:sz w:val="24"/>
              </w:rPr>
              <w:t>£</w:t>
            </w:r>
            <w:r w:rsidR="00DB0244" w:rsidRPr="00E740C8">
              <w:rPr>
                <w:rFonts w:ascii="Arial" w:hAnsi="Arial" w:cs="Arial"/>
                <w:sz w:val="24"/>
              </w:rPr>
              <w:t>8</w:t>
            </w:r>
            <w:r w:rsidRPr="00E740C8">
              <w:rPr>
                <w:rFonts w:ascii="Arial" w:hAnsi="Arial" w:cs="Arial"/>
                <w:sz w:val="24"/>
              </w:rPr>
              <w:t>m</w:t>
            </w:r>
          </w:p>
        </w:tc>
      </w:tr>
      <w:tr w:rsidR="00CE2685" w14:paraId="156E72A6" w14:textId="77777777" w:rsidTr="00E37A08">
        <w:tc>
          <w:tcPr>
            <w:tcW w:w="7083" w:type="dxa"/>
          </w:tcPr>
          <w:p w14:paraId="4AC9D6C2" w14:textId="77777777" w:rsidR="000A13C3" w:rsidRPr="00E740C8" w:rsidRDefault="00147B55" w:rsidP="000A13C3">
            <w:pPr>
              <w:jc w:val="both"/>
              <w:rPr>
                <w:rFonts w:ascii="Arial" w:hAnsi="Arial" w:cs="Arial"/>
                <w:b/>
                <w:bCs/>
                <w:sz w:val="24"/>
              </w:rPr>
            </w:pPr>
            <w:r w:rsidRPr="00E740C8">
              <w:rPr>
                <w:rFonts w:ascii="Arial" w:hAnsi="Arial" w:cs="Arial"/>
                <w:b/>
                <w:bCs/>
                <w:sz w:val="24"/>
              </w:rPr>
              <w:t xml:space="preserve">Total </w:t>
            </w:r>
            <w:r w:rsidR="00FD0656" w:rsidRPr="00E740C8">
              <w:rPr>
                <w:rFonts w:ascii="Arial" w:hAnsi="Arial" w:cs="Arial"/>
                <w:b/>
                <w:bCs/>
                <w:sz w:val="24"/>
              </w:rPr>
              <w:t>Additional</w:t>
            </w:r>
            <w:r w:rsidR="00DB0244" w:rsidRPr="00E740C8">
              <w:rPr>
                <w:rFonts w:ascii="Arial" w:hAnsi="Arial" w:cs="Arial"/>
                <w:b/>
                <w:bCs/>
                <w:sz w:val="24"/>
              </w:rPr>
              <w:t xml:space="preserve"> Funding 23/24</w:t>
            </w:r>
            <w:r w:rsidRPr="00E740C8">
              <w:rPr>
                <w:rFonts w:ascii="Arial" w:hAnsi="Arial" w:cs="Arial"/>
                <w:b/>
                <w:bCs/>
                <w:sz w:val="24"/>
              </w:rPr>
              <w:t xml:space="preserve"> </w:t>
            </w:r>
          </w:p>
        </w:tc>
        <w:tc>
          <w:tcPr>
            <w:tcW w:w="1933" w:type="dxa"/>
          </w:tcPr>
          <w:p w14:paraId="3C409A5B" w14:textId="77777777" w:rsidR="000A13C3" w:rsidRPr="00E740C8" w:rsidRDefault="00147B55" w:rsidP="000A13C3">
            <w:pPr>
              <w:jc w:val="right"/>
              <w:rPr>
                <w:rFonts w:ascii="Arial" w:hAnsi="Arial" w:cs="Arial"/>
                <w:b/>
                <w:bCs/>
                <w:sz w:val="24"/>
              </w:rPr>
            </w:pPr>
            <w:r w:rsidRPr="00E740C8">
              <w:rPr>
                <w:rFonts w:ascii="Arial" w:hAnsi="Arial" w:cs="Arial"/>
                <w:b/>
                <w:bCs/>
                <w:sz w:val="24"/>
              </w:rPr>
              <w:t>£3</w:t>
            </w:r>
            <w:r w:rsidR="00DB0244" w:rsidRPr="00E740C8">
              <w:rPr>
                <w:rFonts w:ascii="Arial" w:hAnsi="Arial" w:cs="Arial"/>
                <w:b/>
                <w:bCs/>
                <w:sz w:val="24"/>
              </w:rPr>
              <w:t>9</w:t>
            </w:r>
            <w:r w:rsidRPr="00E740C8">
              <w:rPr>
                <w:rFonts w:ascii="Arial" w:hAnsi="Arial" w:cs="Arial"/>
                <w:b/>
                <w:bCs/>
                <w:sz w:val="24"/>
              </w:rPr>
              <w:t>m</w:t>
            </w:r>
          </w:p>
        </w:tc>
      </w:tr>
    </w:tbl>
    <w:p w14:paraId="7C7E66C6" w14:textId="77777777" w:rsidR="00936821" w:rsidRDefault="00936821" w:rsidP="00264768">
      <w:pPr>
        <w:spacing w:line="276" w:lineRule="auto"/>
        <w:rPr>
          <w:rFonts w:cs="Arial"/>
          <w:b/>
        </w:rPr>
      </w:pPr>
    </w:p>
    <w:p w14:paraId="76C41BFD" w14:textId="09B84010" w:rsidR="00264768" w:rsidRPr="00264768" w:rsidRDefault="00147B55" w:rsidP="000D0FA1">
      <w:pPr>
        <w:rPr>
          <w:rFonts w:cs="Arial"/>
          <w:b/>
        </w:rPr>
      </w:pPr>
      <w:r w:rsidRPr="00264768">
        <w:rPr>
          <w:rFonts w:cs="Arial"/>
          <w:b/>
        </w:rPr>
        <w:t>SCHOOLS BUDGET 2023/24</w:t>
      </w:r>
    </w:p>
    <w:p w14:paraId="5C72C03B" w14:textId="77777777" w:rsidR="000A13C3" w:rsidRPr="00F1779A" w:rsidRDefault="00147B55" w:rsidP="000D0FA1">
      <w:pPr>
        <w:spacing w:after="200"/>
        <w:rPr>
          <w:rFonts w:cs="Arial"/>
          <w:b/>
        </w:rPr>
      </w:pPr>
      <w:r w:rsidRPr="00264768">
        <w:rPr>
          <w:rFonts w:cs="Arial"/>
        </w:rPr>
        <w:t xml:space="preserve">The latest Individual School Budgets across all phases </w:t>
      </w:r>
      <w:r w:rsidR="00F1779A">
        <w:rPr>
          <w:rFonts w:cs="Arial"/>
        </w:rPr>
        <w:t>have</w:t>
      </w:r>
      <w:r w:rsidRPr="00264768">
        <w:rPr>
          <w:rFonts w:cs="Arial"/>
        </w:rPr>
        <w:t xml:space="preserve"> been constructed using the final datasets made available from the Department for Education and our latest local Early Years and High Needs data. </w:t>
      </w:r>
    </w:p>
    <w:p w14:paraId="39457312" w14:textId="77777777" w:rsidR="000A13C3" w:rsidRPr="00264768" w:rsidRDefault="00147B55" w:rsidP="000D0FA1">
      <w:pPr>
        <w:jc w:val="both"/>
        <w:rPr>
          <w:rFonts w:cs="Arial"/>
        </w:rPr>
      </w:pPr>
      <w:r w:rsidRPr="00264768">
        <w:rPr>
          <w:rFonts w:cs="Arial"/>
        </w:rPr>
        <w:t xml:space="preserve">This Schools Budget estimate has been calculated following discussions with the </w:t>
      </w:r>
      <w:r w:rsidR="00F1779A">
        <w:rPr>
          <w:rFonts w:cs="Arial"/>
        </w:rPr>
        <w:t>S</w:t>
      </w:r>
      <w:r w:rsidR="00422940" w:rsidRPr="00264768">
        <w:rPr>
          <w:rFonts w:cs="Arial"/>
        </w:rPr>
        <w:t>chools</w:t>
      </w:r>
      <w:r w:rsidRPr="00264768">
        <w:rPr>
          <w:rFonts w:cs="Arial"/>
        </w:rPr>
        <w:t xml:space="preserve"> Forum and where necessary, consultation with Lancashire schools.  </w:t>
      </w:r>
    </w:p>
    <w:p w14:paraId="385C5900" w14:textId="77777777" w:rsidR="000505EC" w:rsidRPr="00264768" w:rsidRDefault="000505EC" w:rsidP="000A13C3">
      <w:pPr>
        <w:jc w:val="both"/>
        <w:rPr>
          <w:rFonts w:cs="Arial"/>
        </w:rPr>
      </w:pPr>
    </w:p>
    <w:p w14:paraId="49CF1836" w14:textId="77777777" w:rsidR="000A13C3" w:rsidRPr="00264768" w:rsidRDefault="00147B55" w:rsidP="000A13C3">
      <w:pPr>
        <w:jc w:val="both"/>
        <w:rPr>
          <w:rFonts w:cs="Arial"/>
          <w:b/>
        </w:rPr>
      </w:pPr>
      <w:r w:rsidRPr="00264768">
        <w:rPr>
          <w:rFonts w:cs="Arial"/>
          <w:b/>
        </w:rPr>
        <w:t>Budget Summary</w:t>
      </w:r>
    </w:p>
    <w:p w14:paraId="28E0A6D6" w14:textId="77777777" w:rsidR="000A13C3" w:rsidRPr="00264768" w:rsidRDefault="00147B55" w:rsidP="000A13C3">
      <w:pPr>
        <w:jc w:val="both"/>
        <w:rPr>
          <w:rFonts w:cs="Arial"/>
        </w:rPr>
      </w:pPr>
      <w:r w:rsidRPr="00264768">
        <w:rPr>
          <w:rFonts w:cs="Arial"/>
        </w:rPr>
        <w:t xml:space="preserve">Further details about each block </w:t>
      </w:r>
      <w:r w:rsidR="00854C8F" w:rsidRPr="00264768">
        <w:rPr>
          <w:rFonts w:cs="Arial"/>
        </w:rPr>
        <w:t xml:space="preserve">budget set by Lancashire </w:t>
      </w:r>
      <w:r w:rsidRPr="00264768">
        <w:rPr>
          <w:rFonts w:cs="Arial"/>
        </w:rPr>
        <w:t>are provided below</w:t>
      </w:r>
      <w:r w:rsidR="00264768" w:rsidRPr="00264768">
        <w:rPr>
          <w:rFonts w:cs="Arial"/>
        </w:rPr>
        <w:t>;</w:t>
      </w:r>
    </w:p>
    <w:p w14:paraId="4D6D23B4" w14:textId="77777777" w:rsidR="000A13C3" w:rsidRPr="00264768" w:rsidRDefault="000A13C3" w:rsidP="000A13C3">
      <w:pPr>
        <w:jc w:val="both"/>
        <w:rPr>
          <w:rFonts w:cs="Arial"/>
          <w:b/>
          <w:u w:val="single"/>
        </w:rPr>
      </w:pPr>
    </w:p>
    <w:p w14:paraId="6EFF8090" w14:textId="77777777" w:rsidR="00E7006B" w:rsidRPr="00264768" w:rsidRDefault="00147B55" w:rsidP="000A13C3">
      <w:pPr>
        <w:jc w:val="both"/>
        <w:rPr>
          <w:rFonts w:cs="Arial"/>
          <w:b/>
        </w:rPr>
      </w:pPr>
      <w:r w:rsidRPr="00264768">
        <w:rPr>
          <w:rFonts w:cs="Arial"/>
          <w:b/>
        </w:rPr>
        <w:t>Schools Block (</w:t>
      </w:r>
      <w:r w:rsidRPr="00264768">
        <w:rPr>
          <w:rFonts w:cs="Arial"/>
          <w:b/>
          <w:bCs/>
          <w:color w:val="000000"/>
        </w:rPr>
        <w:t>£956m)</w:t>
      </w:r>
    </w:p>
    <w:p w14:paraId="5AF3FBCA" w14:textId="77777777" w:rsidR="000A13C3" w:rsidRPr="00264768" w:rsidRDefault="00147B55" w:rsidP="000A13C3">
      <w:pPr>
        <w:jc w:val="both"/>
        <w:rPr>
          <w:rFonts w:cs="Arial"/>
        </w:rPr>
      </w:pPr>
      <w:r w:rsidRPr="00264768">
        <w:rPr>
          <w:rFonts w:cs="Arial"/>
        </w:rPr>
        <w:t xml:space="preserve">Following consultation with schools and the </w:t>
      </w:r>
      <w:r w:rsidR="00F1779A">
        <w:rPr>
          <w:rFonts w:cs="Arial"/>
        </w:rPr>
        <w:t>S</w:t>
      </w:r>
      <w:r w:rsidR="00B33FEF" w:rsidRPr="00264768">
        <w:rPr>
          <w:rFonts w:cs="Arial"/>
        </w:rPr>
        <w:t>chools</w:t>
      </w:r>
      <w:r w:rsidRPr="00264768">
        <w:rPr>
          <w:rFonts w:cs="Arial"/>
        </w:rPr>
        <w:t xml:space="preserve"> Forum as part of the 2018/19 Schools Budget setting cycle, it was agreed to use the Government's National Funding Formula methodology as the local Lancashire funding model.</w:t>
      </w:r>
    </w:p>
    <w:p w14:paraId="5D0F4860" w14:textId="77777777" w:rsidR="000A13C3" w:rsidRPr="00264768" w:rsidRDefault="000A13C3" w:rsidP="000A13C3">
      <w:pPr>
        <w:jc w:val="both"/>
        <w:rPr>
          <w:rFonts w:cs="Arial"/>
        </w:rPr>
      </w:pPr>
    </w:p>
    <w:p w14:paraId="2E587C78" w14:textId="77777777" w:rsidR="000A13C3" w:rsidRPr="00264768" w:rsidRDefault="00147B55" w:rsidP="000A13C3">
      <w:pPr>
        <w:jc w:val="both"/>
        <w:rPr>
          <w:rFonts w:cs="Arial"/>
        </w:rPr>
      </w:pPr>
      <w:r w:rsidRPr="00264768">
        <w:rPr>
          <w:rFonts w:cs="Arial"/>
        </w:rPr>
        <w:t>As supported by responses from schools in a consultation held in the autumn term of 2022, the Minimum Funding Guarantee has been included in the formula at +0.5%</w:t>
      </w:r>
      <w:r w:rsidR="00E7006B" w:rsidRPr="00264768">
        <w:rPr>
          <w:rFonts w:cs="Arial"/>
        </w:rPr>
        <w:t>.</w:t>
      </w:r>
    </w:p>
    <w:p w14:paraId="13ABC929" w14:textId="77777777" w:rsidR="000A13C3" w:rsidRPr="00264768" w:rsidRDefault="000A13C3" w:rsidP="000A13C3">
      <w:pPr>
        <w:jc w:val="both"/>
        <w:rPr>
          <w:rFonts w:cs="Arial"/>
        </w:rPr>
      </w:pPr>
    </w:p>
    <w:p w14:paraId="4050DAE6" w14:textId="77777777" w:rsidR="000A13C3" w:rsidRPr="00264768" w:rsidRDefault="00147B55" w:rsidP="000A13C3">
      <w:pPr>
        <w:jc w:val="both"/>
        <w:rPr>
          <w:rFonts w:cs="Arial"/>
        </w:rPr>
      </w:pPr>
      <w:bookmarkStart w:id="1" w:name="_Hlk91051673"/>
      <w:r w:rsidRPr="00264768">
        <w:rPr>
          <w:rFonts w:cs="Arial"/>
        </w:rPr>
        <w:t xml:space="preserve">It should also be noted that a transfer of Schools Block headroom has been agreed in recent years to support pressures in other funding blocks.  For 2023/24, no headroom is available, largely due to </w:t>
      </w:r>
      <w:r w:rsidR="00854C8F" w:rsidRPr="00264768">
        <w:rPr>
          <w:rFonts w:cs="Arial"/>
        </w:rPr>
        <w:t>the increased pressures on Schools Budgets including staffing inflation and utility costs</w:t>
      </w:r>
      <w:r w:rsidRPr="00264768">
        <w:rPr>
          <w:rFonts w:cs="Arial"/>
        </w:rPr>
        <w:t>.</w:t>
      </w:r>
    </w:p>
    <w:p w14:paraId="78EA7B73" w14:textId="77777777" w:rsidR="000A13C3" w:rsidRPr="00264768" w:rsidRDefault="000A13C3" w:rsidP="000A13C3">
      <w:pPr>
        <w:jc w:val="both"/>
        <w:rPr>
          <w:rFonts w:cs="Arial"/>
        </w:rPr>
      </w:pPr>
    </w:p>
    <w:p w14:paraId="568ED912" w14:textId="77777777" w:rsidR="000A13C3" w:rsidRPr="00264768" w:rsidRDefault="00147B55" w:rsidP="000A13C3">
      <w:pPr>
        <w:jc w:val="both"/>
        <w:rPr>
          <w:rFonts w:cs="Arial"/>
          <w:lang w:val="en"/>
        </w:rPr>
      </w:pPr>
      <w:r w:rsidRPr="00264768">
        <w:rPr>
          <w:rFonts w:cs="Arial"/>
          <w:lang w:val="en"/>
        </w:rPr>
        <w:t>The Schools Block funding is sufficient for all the National Funding Formula factors and rates to be applied in full, including updated Minimum Pupil Funding rates, and the agreed Minimum Funding Guarantee.</w:t>
      </w:r>
    </w:p>
    <w:bookmarkEnd w:id="1"/>
    <w:p w14:paraId="6EBB85D7" w14:textId="77777777" w:rsidR="00E740C8" w:rsidRPr="00264768" w:rsidRDefault="00E740C8" w:rsidP="000A13C3">
      <w:pPr>
        <w:jc w:val="both"/>
        <w:rPr>
          <w:rFonts w:cs="Arial"/>
        </w:rPr>
      </w:pPr>
    </w:p>
    <w:p w14:paraId="2B0A86C3" w14:textId="77777777" w:rsidR="000A13C3" w:rsidRPr="00264768" w:rsidRDefault="00147B55" w:rsidP="000A13C3">
      <w:pPr>
        <w:jc w:val="both"/>
        <w:rPr>
          <w:rFonts w:eastAsia="Calibri" w:cs="Arial"/>
          <w:lang w:eastAsia="en-US"/>
        </w:rPr>
      </w:pPr>
      <w:r w:rsidRPr="00264768">
        <w:rPr>
          <w:rFonts w:eastAsia="Calibri" w:cs="Arial"/>
          <w:lang w:eastAsia="en-US"/>
        </w:rPr>
        <w:t>The Schools Block expenditure for 2023/24 is therefore estimated in the table below:</w:t>
      </w:r>
    </w:p>
    <w:p w14:paraId="4DE0B1D8" w14:textId="77777777" w:rsidR="000A13C3" w:rsidRPr="00264768" w:rsidRDefault="000A13C3" w:rsidP="000A13C3">
      <w:pPr>
        <w:jc w:val="both"/>
        <w:rPr>
          <w:rFonts w:cs="Arial"/>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2255"/>
      </w:tblGrid>
      <w:tr w:rsidR="00CE2685" w14:paraId="5C7CE6D9" w14:textId="77777777" w:rsidTr="00873BF9">
        <w:trPr>
          <w:trHeight w:val="272"/>
        </w:trPr>
        <w:tc>
          <w:tcPr>
            <w:tcW w:w="6627" w:type="dxa"/>
            <w:shd w:val="clear" w:color="auto" w:fill="auto"/>
            <w:noWrap/>
            <w:vAlign w:val="bottom"/>
            <w:hideMark/>
          </w:tcPr>
          <w:p w14:paraId="40137E7D" w14:textId="77777777" w:rsidR="000A13C3" w:rsidRPr="00264768" w:rsidRDefault="00147B55" w:rsidP="000A13C3">
            <w:pPr>
              <w:rPr>
                <w:rFonts w:cs="Arial"/>
                <w:b/>
                <w:bCs/>
                <w:color w:val="000000"/>
              </w:rPr>
            </w:pPr>
            <w:r w:rsidRPr="00264768">
              <w:rPr>
                <w:rFonts w:cs="Arial"/>
                <w:b/>
                <w:bCs/>
                <w:color w:val="000000"/>
              </w:rPr>
              <w:t>Forecast Schools Block Expenditure</w:t>
            </w:r>
          </w:p>
        </w:tc>
        <w:tc>
          <w:tcPr>
            <w:tcW w:w="2255" w:type="dxa"/>
            <w:shd w:val="clear" w:color="auto" w:fill="auto"/>
            <w:noWrap/>
            <w:vAlign w:val="bottom"/>
            <w:hideMark/>
          </w:tcPr>
          <w:p w14:paraId="46E86524" w14:textId="77777777" w:rsidR="000A13C3" w:rsidRPr="00264768" w:rsidRDefault="00147B55" w:rsidP="000A13C3">
            <w:pPr>
              <w:jc w:val="right"/>
              <w:rPr>
                <w:rFonts w:cs="Arial"/>
                <w:b/>
                <w:bCs/>
                <w:color w:val="000000"/>
              </w:rPr>
            </w:pPr>
            <w:r w:rsidRPr="00264768">
              <w:rPr>
                <w:rFonts w:cs="Arial"/>
                <w:b/>
                <w:bCs/>
                <w:color w:val="000000"/>
              </w:rPr>
              <w:t>£m's</w:t>
            </w:r>
          </w:p>
        </w:tc>
      </w:tr>
      <w:tr w:rsidR="00CE2685" w14:paraId="73AC9AA7" w14:textId="77777777" w:rsidTr="00873BF9">
        <w:trPr>
          <w:trHeight w:val="272"/>
        </w:trPr>
        <w:tc>
          <w:tcPr>
            <w:tcW w:w="6627" w:type="dxa"/>
            <w:shd w:val="clear" w:color="auto" w:fill="auto"/>
            <w:noWrap/>
            <w:vAlign w:val="bottom"/>
            <w:hideMark/>
          </w:tcPr>
          <w:p w14:paraId="3EB10BB1" w14:textId="77777777" w:rsidR="000A13C3" w:rsidRPr="00264768" w:rsidRDefault="00147B55" w:rsidP="000A13C3">
            <w:pPr>
              <w:rPr>
                <w:rFonts w:cs="Arial"/>
                <w:color w:val="000000"/>
              </w:rPr>
            </w:pPr>
            <w:r w:rsidRPr="00264768">
              <w:rPr>
                <w:rFonts w:cs="Arial"/>
                <w:color w:val="000000"/>
              </w:rPr>
              <w:t>Primary</w:t>
            </w:r>
          </w:p>
        </w:tc>
        <w:tc>
          <w:tcPr>
            <w:tcW w:w="2255" w:type="dxa"/>
            <w:shd w:val="clear" w:color="auto" w:fill="auto"/>
            <w:noWrap/>
            <w:vAlign w:val="bottom"/>
            <w:hideMark/>
          </w:tcPr>
          <w:p w14:paraId="291A5E9E" w14:textId="77777777" w:rsidR="000A13C3" w:rsidRPr="00264768" w:rsidRDefault="00147B55" w:rsidP="000A13C3">
            <w:pPr>
              <w:jc w:val="right"/>
              <w:rPr>
                <w:rFonts w:cs="Arial"/>
                <w:color w:val="000000"/>
              </w:rPr>
            </w:pPr>
            <w:r w:rsidRPr="00264768">
              <w:rPr>
                <w:rFonts w:cs="Arial"/>
                <w:color w:val="000000"/>
              </w:rPr>
              <w:t>486.2</w:t>
            </w:r>
            <w:r w:rsidR="001A7CBD" w:rsidRPr="00264768">
              <w:rPr>
                <w:rFonts w:cs="Arial"/>
                <w:color w:val="000000"/>
              </w:rPr>
              <w:t>1</w:t>
            </w:r>
          </w:p>
        </w:tc>
      </w:tr>
      <w:tr w:rsidR="00CE2685" w14:paraId="7343533E" w14:textId="77777777" w:rsidTr="00873BF9">
        <w:trPr>
          <w:trHeight w:val="272"/>
        </w:trPr>
        <w:tc>
          <w:tcPr>
            <w:tcW w:w="6627" w:type="dxa"/>
            <w:shd w:val="clear" w:color="auto" w:fill="auto"/>
            <w:noWrap/>
            <w:vAlign w:val="bottom"/>
            <w:hideMark/>
          </w:tcPr>
          <w:p w14:paraId="3FB5EEE8" w14:textId="77777777" w:rsidR="000A13C3" w:rsidRPr="00264768" w:rsidRDefault="00147B55" w:rsidP="000A13C3">
            <w:pPr>
              <w:rPr>
                <w:rFonts w:cs="Arial"/>
                <w:color w:val="000000"/>
              </w:rPr>
            </w:pPr>
            <w:r w:rsidRPr="00264768">
              <w:rPr>
                <w:rFonts w:cs="Arial"/>
                <w:color w:val="000000"/>
              </w:rPr>
              <w:t>Secondary</w:t>
            </w:r>
          </w:p>
        </w:tc>
        <w:tc>
          <w:tcPr>
            <w:tcW w:w="2255" w:type="dxa"/>
            <w:shd w:val="clear" w:color="auto" w:fill="auto"/>
            <w:noWrap/>
            <w:vAlign w:val="bottom"/>
            <w:hideMark/>
          </w:tcPr>
          <w:p w14:paraId="419B0609" w14:textId="77777777" w:rsidR="000A13C3" w:rsidRPr="00264768" w:rsidRDefault="00147B55" w:rsidP="000A13C3">
            <w:pPr>
              <w:jc w:val="right"/>
              <w:rPr>
                <w:rFonts w:cs="Arial"/>
                <w:color w:val="000000"/>
              </w:rPr>
            </w:pPr>
            <w:r w:rsidRPr="00264768">
              <w:rPr>
                <w:rFonts w:cs="Arial"/>
                <w:color w:val="000000"/>
              </w:rPr>
              <w:t>437.70</w:t>
            </w:r>
          </w:p>
        </w:tc>
      </w:tr>
      <w:tr w:rsidR="00CE2685" w14:paraId="324CEB95" w14:textId="77777777" w:rsidTr="00873BF9">
        <w:trPr>
          <w:trHeight w:val="272"/>
        </w:trPr>
        <w:tc>
          <w:tcPr>
            <w:tcW w:w="6627" w:type="dxa"/>
            <w:shd w:val="clear" w:color="auto" w:fill="auto"/>
            <w:noWrap/>
            <w:vAlign w:val="bottom"/>
            <w:hideMark/>
          </w:tcPr>
          <w:p w14:paraId="78DD78C4" w14:textId="77777777" w:rsidR="000A13C3" w:rsidRPr="00264768" w:rsidRDefault="00147B55" w:rsidP="000A13C3">
            <w:pPr>
              <w:rPr>
                <w:rFonts w:cs="Arial"/>
                <w:color w:val="000000"/>
              </w:rPr>
            </w:pPr>
            <w:r w:rsidRPr="00264768">
              <w:rPr>
                <w:rFonts w:cs="Arial"/>
                <w:color w:val="000000"/>
              </w:rPr>
              <w:t>All-Through</w:t>
            </w:r>
          </w:p>
        </w:tc>
        <w:tc>
          <w:tcPr>
            <w:tcW w:w="2255" w:type="dxa"/>
            <w:shd w:val="clear" w:color="auto" w:fill="auto"/>
            <w:noWrap/>
            <w:vAlign w:val="bottom"/>
            <w:hideMark/>
          </w:tcPr>
          <w:p w14:paraId="636EF229" w14:textId="77777777" w:rsidR="000A13C3" w:rsidRPr="00264768" w:rsidRDefault="00147B55" w:rsidP="000A13C3">
            <w:pPr>
              <w:jc w:val="right"/>
              <w:rPr>
                <w:rFonts w:cs="Arial"/>
                <w:color w:val="000000"/>
              </w:rPr>
            </w:pPr>
            <w:r w:rsidRPr="00264768">
              <w:rPr>
                <w:rFonts w:cs="Arial"/>
                <w:color w:val="000000"/>
              </w:rPr>
              <w:t>1.37</w:t>
            </w:r>
          </w:p>
        </w:tc>
      </w:tr>
      <w:tr w:rsidR="00CE2685" w14:paraId="07C88EFB" w14:textId="77777777" w:rsidTr="00873BF9">
        <w:trPr>
          <w:trHeight w:val="286"/>
        </w:trPr>
        <w:tc>
          <w:tcPr>
            <w:tcW w:w="6627" w:type="dxa"/>
            <w:shd w:val="clear" w:color="auto" w:fill="auto"/>
            <w:noWrap/>
            <w:vAlign w:val="bottom"/>
            <w:hideMark/>
          </w:tcPr>
          <w:p w14:paraId="4BF6810E" w14:textId="77777777" w:rsidR="00873BF9" w:rsidRPr="00264768" w:rsidRDefault="00147B55" w:rsidP="000A13C3">
            <w:pPr>
              <w:rPr>
                <w:rFonts w:cs="Arial"/>
                <w:color w:val="000000"/>
              </w:rPr>
            </w:pPr>
            <w:r w:rsidRPr="00264768">
              <w:rPr>
                <w:rFonts w:cs="Arial"/>
                <w:color w:val="000000"/>
              </w:rPr>
              <w:t>Growth</w:t>
            </w:r>
          </w:p>
        </w:tc>
        <w:tc>
          <w:tcPr>
            <w:tcW w:w="2255" w:type="dxa"/>
            <w:shd w:val="clear" w:color="auto" w:fill="auto"/>
            <w:noWrap/>
            <w:vAlign w:val="bottom"/>
            <w:hideMark/>
          </w:tcPr>
          <w:p w14:paraId="4AC1CC54" w14:textId="77777777" w:rsidR="00873BF9" w:rsidRPr="00264768" w:rsidRDefault="00147B55" w:rsidP="000A13C3">
            <w:pPr>
              <w:jc w:val="right"/>
              <w:rPr>
                <w:rFonts w:cs="Arial"/>
                <w:color w:val="000000"/>
              </w:rPr>
            </w:pPr>
            <w:r w:rsidRPr="00264768">
              <w:rPr>
                <w:rFonts w:cs="Arial"/>
                <w:color w:val="000000"/>
              </w:rPr>
              <w:t>3.9</w:t>
            </w:r>
          </w:p>
        </w:tc>
      </w:tr>
      <w:tr w:rsidR="00CE2685" w14:paraId="112F087A" w14:textId="77777777" w:rsidTr="00873BF9">
        <w:trPr>
          <w:trHeight w:val="52"/>
        </w:trPr>
        <w:tc>
          <w:tcPr>
            <w:tcW w:w="6627" w:type="dxa"/>
            <w:shd w:val="clear" w:color="auto" w:fill="auto"/>
            <w:noWrap/>
            <w:vAlign w:val="bottom"/>
          </w:tcPr>
          <w:p w14:paraId="3421EC34" w14:textId="77777777" w:rsidR="009524AB" w:rsidRPr="00264768" w:rsidRDefault="00147B55" w:rsidP="009524AB">
            <w:pPr>
              <w:rPr>
                <w:rFonts w:cs="Arial"/>
                <w:b/>
                <w:bCs/>
                <w:color w:val="000000"/>
              </w:rPr>
            </w:pPr>
            <w:r w:rsidRPr="00264768">
              <w:rPr>
                <w:rFonts w:cs="Arial"/>
                <w:b/>
                <w:bCs/>
                <w:color w:val="000000"/>
              </w:rPr>
              <w:t>Total</w:t>
            </w:r>
          </w:p>
        </w:tc>
        <w:tc>
          <w:tcPr>
            <w:tcW w:w="2255" w:type="dxa"/>
            <w:shd w:val="clear" w:color="auto" w:fill="auto"/>
            <w:noWrap/>
            <w:vAlign w:val="bottom"/>
          </w:tcPr>
          <w:p w14:paraId="146F6980" w14:textId="77777777" w:rsidR="009524AB" w:rsidRPr="00264768" w:rsidRDefault="00147B55" w:rsidP="009524AB">
            <w:pPr>
              <w:jc w:val="right"/>
              <w:rPr>
                <w:rFonts w:cs="Arial"/>
                <w:b/>
                <w:bCs/>
                <w:color w:val="000000"/>
              </w:rPr>
            </w:pPr>
            <w:r w:rsidRPr="00264768">
              <w:rPr>
                <w:rFonts w:cs="Arial"/>
                <w:b/>
                <w:bCs/>
                <w:color w:val="000000"/>
              </w:rPr>
              <w:t>929.2</w:t>
            </w:r>
          </w:p>
        </w:tc>
      </w:tr>
    </w:tbl>
    <w:p w14:paraId="3FEDDEFA" w14:textId="77777777" w:rsidR="000A13C3" w:rsidRPr="00264768" w:rsidRDefault="00147B55" w:rsidP="000A13C3">
      <w:pPr>
        <w:jc w:val="both"/>
        <w:rPr>
          <w:rFonts w:cs="Arial"/>
        </w:rPr>
      </w:pPr>
      <w:r w:rsidRPr="00264768">
        <w:rPr>
          <w:rFonts w:cs="Arial"/>
        </w:rPr>
        <w:lastRenderedPageBreak/>
        <w:t xml:space="preserve">The overall calculation reveals a 2023/24 Schools Block expenditure requirement of </w:t>
      </w:r>
      <w:r w:rsidR="001A420D" w:rsidRPr="00264768">
        <w:rPr>
          <w:rFonts w:cs="Arial"/>
        </w:rPr>
        <w:t>£</w:t>
      </w:r>
      <w:r w:rsidR="00E55FF8">
        <w:rPr>
          <w:rFonts w:cs="Arial"/>
        </w:rPr>
        <w:t>929m</w:t>
      </w:r>
      <w:r w:rsidR="001A420D" w:rsidRPr="00264768">
        <w:rPr>
          <w:rFonts w:cs="Arial"/>
        </w:rPr>
        <w:t xml:space="preserve">. </w:t>
      </w:r>
      <w:r w:rsidR="00F1779A">
        <w:rPr>
          <w:rFonts w:cs="Arial"/>
        </w:rPr>
        <w:t>The school</w:t>
      </w:r>
      <w:r w:rsidR="001A420D" w:rsidRPr="00264768">
        <w:rPr>
          <w:rFonts w:cs="Arial"/>
        </w:rPr>
        <w:t xml:space="preserve"> will then receive an additional allocation as per the Mainstream Schools Annual Grant</w:t>
      </w:r>
      <w:r w:rsidR="00820E52" w:rsidRPr="00264768">
        <w:rPr>
          <w:rFonts w:cs="Arial"/>
        </w:rPr>
        <w:t xml:space="preserve"> on top of the formula budget calculated above, which is a total </w:t>
      </w:r>
      <w:r w:rsidR="00B06761" w:rsidRPr="00264768">
        <w:rPr>
          <w:rFonts w:cs="Arial"/>
        </w:rPr>
        <w:t>of £31m to be distributed over Lancashire Mainstream Schools</w:t>
      </w:r>
      <w:r w:rsidR="00F1779A">
        <w:rPr>
          <w:rFonts w:cs="Arial"/>
        </w:rPr>
        <w:t>.</w:t>
      </w:r>
    </w:p>
    <w:p w14:paraId="238FF28A" w14:textId="77777777" w:rsidR="000A13C3" w:rsidRPr="00264768" w:rsidRDefault="000A13C3" w:rsidP="000A13C3">
      <w:pPr>
        <w:jc w:val="both"/>
        <w:rPr>
          <w:rFonts w:cs="Arial"/>
        </w:rPr>
      </w:pPr>
    </w:p>
    <w:p w14:paraId="64586A2D" w14:textId="77777777" w:rsidR="00D7218E" w:rsidRPr="00264768" w:rsidRDefault="00147B55" w:rsidP="000A13C3">
      <w:pPr>
        <w:jc w:val="both"/>
        <w:rPr>
          <w:rFonts w:cs="Arial"/>
          <w:i/>
          <w:iCs/>
        </w:rPr>
      </w:pPr>
      <w:r w:rsidRPr="00264768">
        <w:rPr>
          <w:rFonts w:cs="Arial"/>
          <w:i/>
          <w:iCs/>
        </w:rPr>
        <w:t>The Authority Proforma Tool (APT) is a dataset to be returned to DFE by 20</w:t>
      </w:r>
      <w:r w:rsidRPr="00264768">
        <w:rPr>
          <w:rFonts w:cs="Arial"/>
          <w:i/>
          <w:iCs/>
          <w:vertAlign w:val="superscript"/>
        </w:rPr>
        <w:t>th</w:t>
      </w:r>
      <w:r w:rsidRPr="00264768">
        <w:rPr>
          <w:rFonts w:cs="Arial"/>
          <w:i/>
          <w:iCs/>
        </w:rPr>
        <w:t xml:space="preserve"> January </w:t>
      </w:r>
      <w:r w:rsidR="00E55FF8">
        <w:rPr>
          <w:rFonts w:cs="Arial"/>
          <w:i/>
          <w:iCs/>
        </w:rPr>
        <w:t>20</w:t>
      </w:r>
      <w:r w:rsidRPr="00264768">
        <w:rPr>
          <w:rFonts w:cs="Arial"/>
          <w:i/>
          <w:iCs/>
        </w:rPr>
        <w:t xml:space="preserve">23, </w:t>
      </w:r>
      <w:r w:rsidR="000F49B4" w:rsidRPr="00264768">
        <w:rPr>
          <w:rFonts w:cs="Arial"/>
          <w:i/>
          <w:iCs/>
        </w:rPr>
        <w:t xml:space="preserve">which will feed the final Schools Block settlement and individual </w:t>
      </w:r>
      <w:r w:rsidR="00AE2E13" w:rsidRPr="00264768">
        <w:rPr>
          <w:rFonts w:cs="Arial"/>
          <w:i/>
          <w:iCs/>
        </w:rPr>
        <w:t>schools'</w:t>
      </w:r>
      <w:r w:rsidR="000F49B4" w:rsidRPr="00264768">
        <w:rPr>
          <w:rFonts w:cs="Arial"/>
          <w:i/>
          <w:iCs/>
        </w:rPr>
        <w:t xml:space="preserve"> budgets. </w:t>
      </w:r>
      <w:r w:rsidR="008F69D9" w:rsidRPr="00264768">
        <w:rPr>
          <w:rFonts w:cs="Arial"/>
          <w:i/>
          <w:iCs/>
        </w:rPr>
        <w:t>A couple of minor queries are still being investigated which could change the above incidences before final submission, but will not change the bottom line of £929m</w:t>
      </w:r>
      <w:r w:rsidR="00E55FF8">
        <w:rPr>
          <w:rFonts w:cs="Arial"/>
          <w:i/>
          <w:iCs/>
        </w:rPr>
        <w:t>.</w:t>
      </w:r>
    </w:p>
    <w:p w14:paraId="2EEE3C95" w14:textId="77777777" w:rsidR="000A13C3" w:rsidRPr="00264768" w:rsidRDefault="000A13C3" w:rsidP="000A13C3">
      <w:pPr>
        <w:jc w:val="both"/>
        <w:rPr>
          <w:rFonts w:cs="Arial"/>
        </w:rPr>
      </w:pPr>
    </w:p>
    <w:p w14:paraId="0496D9C1" w14:textId="77777777" w:rsidR="005422E9" w:rsidRPr="00264768" w:rsidRDefault="00147B55" w:rsidP="000A13C3">
      <w:pPr>
        <w:jc w:val="both"/>
        <w:rPr>
          <w:rFonts w:cs="Arial"/>
          <w:b/>
        </w:rPr>
      </w:pPr>
      <w:r w:rsidRPr="00264768">
        <w:rPr>
          <w:rFonts w:cs="Arial"/>
          <w:b/>
        </w:rPr>
        <w:t>High Needs Block (</w:t>
      </w:r>
      <w:r w:rsidR="00E55FF8">
        <w:rPr>
          <w:rFonts w:cs="Arial"/>
          <w:b/>
        </w:rPr>
        <w:t>£</w:t>
      </w:r>
      <w:r w:rsidR="00214336" w:rsidRPr="00264768">
        <w:rPr>
          <w:rFonts w:cs="Arial"/>
          <w:b/>
        </w:rPr>
        <w:t>193</w:t>
      </w:r>
      <w:r w:rsidRPr="00264768">
        <w:rPr>
          <w:rFonts w:cs="Arial"/>
          <w:b/>
        </w:rPr>
        <w:t>m)</w:t>
      </w:r>
    </w:p>
    <w:p w14:paraId="2A2C6861" w14:textId="77777777" w:rsidR="000A13C3" w:rsidRPr="00264768" w:rsidRDefault="00147B55" w:rsidP="000A13C3">
      <w:pPr>
        <w:jc w:val="both"/>
        <w:rPr>
          <w:rFonts w:eastAsia="Calibri" w:cs="Arial"/>
          <w:lang w:eastAsia="en-US"/>
        </w:rPr>
      </w:pPr>
      <w:r w:rsidRPr="00264768">
        <w:rPr>
          <w:rFonts w:eastAsia="Calibri" w:cs="Arial"/>
          <w:lang w:eastAsia="en-US"/>
        </w:rPr>
        <w:t>The High Needs Block expenditure for 2023/24 is estimated in the table below:</w:t>
      </w:r>
    </w:p>
    <w:p w14:paraId="04AD0B9D" w14:textId="77777777" w:rsidR="000A13C3" w:rsidRPr="00264768" w:rsidRDefault="000A13C3" w:rsidP="000A13C3">
      <w:pPr>
        <w:jc w:val="both"/>
        <w:rPr>
          <w:rFonts w:eastAsia="Calibri" w:cs="Arial"/>
          <w:lang w:eastAsia="en-US"/>
        </w:rPr>
      </w:pPr>
    </w:p>
    <w:tbl>
      <w:tblPr>
        <w:tblW w:w="8080" w:type="dxa"/>
        <w:tblInd w:w="-10" w:type="dxa"/>
        <w:tblLook w:val="04A0" w:firstRow="1" w:lastRow="0" w:firstColumn="1" w:lastColumn="0" w:noHBand="0" w:noVBand="1"/>
      </w:tblPr>
      <w:tblGrid>
        <w:gridCol w:w="5245"/>
        <w:gridCol w:w="1418"/>
        <w:gridCol w:w="1417"/>
      </w:tblGrid>
      <w:tr w:rsidR="00CE2685" w14:paraId="28A7F66C" w14:textId="77777777" w:rsidTr="00E37A08">
        <w:trPr>
          <w:trHeight w:val="1295"/>
        </w:trPr>
        <w:tc>
          <w:tcPr>
            <w:tcW w:w="5245"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DA32640" w14:textId="77777777" w:rsidR="000A13C3" w:rsidRPr="00264768" w:rsidRDefault="00147B55" w:rsidP="000A13C3">
            <w:pPr>
              <w:rPr>
                <w:rFonts w:cs="Arial"/>
              </w:rPr>
            </w:pPr>
            <w:r w:rsidRPr="00264768">
              <w:rPr>
                <w:rFonts w:cs="Arial"/>
              </w:rPr>
              <w:t>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76FF697F" w14:textId="77777777" w:rsidR="000A13C3" w:rsidRPr="00264768" w:rsidRDefault="00147B55" w:rsidP="000A13C3">
            <w:pPr>
              <w:jc w:val="center"/>
              <w:rPr>
                <w:rFonts w:cs="Arial"/>
                <w:b/>
                <w:bCs/>
              </w:rPr>
            </w:pPr>
            <w:r w:rsidRPr="00264768">
              <w:rPr>
                <w:rFonts w:cs="Arial"/>
                <w:b/>
                <w:bCs/>
              </w:rPr>
              <w:t>Place funding</w:t>
            </w:r>
          </w:p>
          <w:p w14:paraId="3F7F1DE7" w14:textId="77777777" w:rsidR="000A13C3" w:rsidRPr="00264768" w:rsidRDefault="00147B55" w:rsidP="000A13C3">
            <w:pPr>
              <w:jc w:val="center"/>
              <w:rPr>
                <w:rFonts w:cs="Arial"/>
                <w:b/>
                <w:bCs/>
              </w:rPr>
            </w:pPr>
            <w:r w:rsidRPr="00264768">
              <w:rPr>
                <w:rFonts w:cs="Arial"/>
                <w:b/>
                <w:bCs/>
              </w:rPr>
              <w:t>£m</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0AAB0EFF" w14:textId="77777777" w:rsidR="000A13C3" w:rsidRPr="00264768" w:rsidRDefault="00147B55" w:rsidP="000A13C3">
            <w:pPr>
              <w:jc w:val="center"/>
              <w:rPr>
                <w:rFonts w:cs="Arial"/>
                <w:b/>
                <w:bCs/>
              </w:rPr>
            </w:pPr>
            <w:r w:rsidRPr="00264768">
              <w:rPr>
                <w:rFonts w:cs="Arial"/>
                <w:b/>
                <w:bCs/>
              </w:rPr>
              <w:t>Top-up funding</w:t>
            </w:r>
          </w:p>
          <w:p w14:paraId="5F6B0B93" w14:textId="77777777" w:rsidR="000A13C3" w:rsidRPr="00264768" w:rsidRDefault="00147B55" w:rsidP="000A13C3">
            <w:pPr>
              <w:jc w:val="center"/>
              <w:rPr>
                <w:rFonts w:cs="Arial"/>
                <w:b/>
                <w:bCs/>
              </w:rPr>
            </w:pPr>
            <w:r w:rsidRPr="00264768">
              <w:rPr>
                <w:rFonts w:cs="Arial"/>
                <w:b/>
                <w:bCs/>
              </w:rPr>
              <w:t>£m</w:t>
            </w:r>
          </w:p>
        </w:tc>
      </w:tr>
      <w:tr w:rsidR="00CE2685" w14:paraId="7D545889" w14:textId="77777777" w:rsidTr="00E37A08">
        <w:trPr>
          <w:trHeight w:val="315"/>
        </w:trPr>
        <w:tc>
          <w:tcPr>
            <w:tcW w:w="5245" w:type="dxa"/>
            <w:tcBorders>
              <w:top w:val="nil"/>
              <w:left w:val="single" w:sz="8" w:space="0" w:color="auto"/>
              <w:bottom w:val="single" w:sz="8" w:space="0" w:color="auto"/>
              <w:right w:val="single" w:sz="4" w:space="0" w:color="auto"/>
            </w:tcBorders>
            <w:shd w:val="clear" w:color="auto" w:fill="auto"/>
            <w:noWrap/>
            <w:vAlign w:val="center"/>
            <w:hideMark/>
          </w:tcPr>
          <w:p w14:paraId="4EA555EA" w14:textId="77777777" w:rsidR="000A13C3" w:rsidRPr="00264768" w:rsidRDefault="00147B55" w:rsidP="000A13C3">
            <w:pPr>
              <w:rPr>
                <w:rFonts w:cs="Arial"/>
              </w:rPr>
            </w:pPr>
            <w:r w:rsidRPr="00264768">
              <w:rPr>
                <w:rFonts w:cs="Arial"/>
              </w:rPr>
              <w:t>Delegated to Schools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D331" w14:textId="77777777" w:rsidR="000A13C3" w:rsidRPr="00264768" w:rsidRDefault="00147B55" w:rsidP="000A13C3">
            <w:pPr>
              <w:jc w:val="right"/>
              <w:rPr>
                <w:rFonts w:cs="Arial"/>
              </w:rPr>
            </w:pPr>
            <w:r w:rsidRPr="00264768">
              <w:rPr>
                <w:rFonts w:cs="Arial"/>
              </w:rPr>
              <w:t>45.9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C8D4" w14:textId="77777777" w:rsidR="000A13C3" w:rsidRPr="00264768" w:rsidRDefault="00147B55" w:rsidP="000A13C3">
            <w:pPr>
              <w:jc w:val="right"/>
              <w:rPr>
                <w:rFonts w:cs="Arial"/>
              </w:rPr>
            </w:pPr>
            <w:r w:rsidRPr="00264768">
              <w:rPr>
                <w:rFonts w:cs="Arial"/>
              </w:rPr>
              <w:t>77.8</w:t>
            </w:r>
          </w:p>
        </w:tc>
      </w:tr>
      <w:tr w:rsidR="00CE2685" w14:paraId="2457A35B" w14:textId="77777777" w:rsidTr="00E37A08">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14:paraId="27D572B6" w14:textId="77777777" w:rsidR="000A13C3" w:rsidRPr="00264768" w:rsidRDefault="00147B55" w:rsidP="000A13C3">
            <w:pPr>
              <w:rPr>
                <w:rFonts w:cs="Arial"/>
              </w:rPr>
            </w:pPr>
            <w:r w:rsidRPr="00264768">
              <w:rPr>
                <w:rFonts w:cs="Arial"/>
              </w:rPr>
              <w:t>FE Colleges</w:t>
            </w:r>
          </w:p>
        </w:tc>
        <w:tc>
          <w:tcPr>
            <w:tcW w:w="1418" w:type="dxa"/>
            <w:tcBorders>
              <w:top w:val="single" w:sz="4" w:space="0" w:color="auto"/>
              <w:left w:val="nil"/>
              <w:bottom w:val="single" w:sz="8" w:space="0" w:color="auto"/>
              <w:right w:val="single" w:sz="8" w:space="0" w:color="auto"/>
            </w:tcBorders>
            <w:shd w:val="clear" w:color="auto" w:fill="auto"/>
            <w:noWrap/>
            <w:vAlign w:val="bottom"/>
          </w:tcPr>
          <w:p w14:paraId="429E7C2B" w14:textId="77777777" w:rsidR="000A13C3" w:rsidRPr="00264768" w:rsidRDefault="000A13C3" w:rsidP="000A13C3">
            <w:pPr>
              <w:jc w:val="right"/>
              <w:rPr>
                <w:rFonts w:cs="Arial"/>
              </w:rPr>
            </w:pP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14:paraId="550E6579" w14:textId="77777777" w:rsidR="000A13C3" w:rsidRPr="00264768" w:rsidRDefault="00147B55" w:rsidP="000A13C3">
            <w:pPr>
              <w:jc w:val="right"/>
              <w:rPr>
                <w:rFonts w:cs="Arial"/>
              </w:rPr>
            </w:pPr>
            <w:r w:rsidRPr="00264768">
              <w:rPr>
                <w:rFonts w:cs="Arial"/>
              </w:rPr>
              <w:t>12.8</w:t>
            </w:r>
          </w:p>
        </w:tc>
      </w:tr>
      <w:tr w:rsidR="00CE2685" w14:paraId="6EC474C0" w14:textId="77777777" w:rsidTr="00E37A08">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14:paraId="5122B013" w14:textId="77777777" w:rsidR="000A13C3" w:rsidRPr="00264768" w:rsidRDefault="00147B55" w:rsidP="000A13C3">
            <w:pPr>
              <w:rPr>
                <w:rFonts w:cs="Arial"/>
              </w:rPr>
            </w:pPr>
            <w:r w:rsidRPr="00264768">
              <w:rPr>
                <w:rFonts w:cs="Arial"/>
              </w:rPr>
              <w:t>High Needs Block costs on a commissioned basis</w:t>
            </w:r>
          </w:p>
        </w:tc>
        <w:tc>
          <w:tcPr>
            <w:tcW w:w="1418" w:type="dxa"/>
            <w:tcBorders>
              <w:top w:val="nil"/>
              <w:left w:val="nil"/>
              <w:bottom w:val="single" w:sz="8" w:space="0" w:color="auto"/>
              <w:right w:val="single" w:sz="8" w:space="0" w:color="auto"/>
            </w:tcBorders>
            <w:shd w:val="clear" w:color="auto" w:fill="auto"/>
            <w:noWrap/>
            <w:vAlign w:val="bottom"/>
          </w:tcPr>
          <w:p w14:paraId="3AC9B6D3" w14:textId="77777777" w:rsidR="000A13C3" w:rsidRPr="00264768" w:rsidRDefault="000A13C3" w:rsidP="000A13C3">
            <w:pPr>
              <w:jc w:val="right"/>
              <w:rPr>
                <w:rFonts w:cs="Arial"/>
              </w:rPr>
            </w:pPr>
          </w:p>
        </w:tc>
        <w:tc>
          <w:tcPr>
            <w:tcW w:w="1417" w:type="dxa"/>
            <w:tcBorders>
              <w:top w:val="nil"/>
              <w:left w:val="nil"/>
              <w:bottom w:val="single" w:sz="8" w:space="0" w:color="auto"/>
              <w:right w:val="single" w:sz="8" w:space="0" w:color="auto"/>
            </w:tcBorders>
            <w:shd w:val="clear" w:color="auto" w:fill="auto"/>
            <w:noWrap/>
            <w:vAlign w:val="bottom"/>
            <w:hideMark/>
          </w:tcPr>
          <w:p w14:paraId="67778209" w14:textId="77777777" w:rsidR="000A13C3" w:rsidRPr="00264768" w:rsidRDefault="00147B55" w:rsidP="000A13C3">
            <w:pPr>
              <w:jc w:val="right"/>
              <w:rPr>
                <w:rFonts w:cs="Arial"/>
              </w:rPr>
            </w:pPr>
            <w:r w:rsidRPr="00264768">
              <w:rPr>
                <w:rFonts w:cs="Arial"/>
              </w:rPr>
              <w:t>44.2</w:t>
            </w:r>
          </w:p>
        </w:tc>
      </w:tr>
      <w:tr w:rsidR="00CE2685" w14:paraId="0C2D8D34" w14:textId="77777777" w:rsidTr="00E37A08">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tcPr>
          <w:p w14:paraId="01BFCFA8" w14:textId="77777777" w:rsidR="000A13C3" w:rsidRPr="00264768" w:rsidRDefault="00147B55" w:rsidP="000A13C3">
            <w:pPr>
              <w:rPr>
                <w:rFonts w:cs="Arial"/>
                <w:b/>
                <w:bCs/>
              </w:rPr>
            </w:pPr>
            <w:r w:rsidRPr="00264768">
              <w:rPr>
                <w:rFonts w:cs="Arial"/>
              </w:rPr>
              <w:t>Total deductions based on 21/22 for direct high needs payments made by the Education and Skills Funding Agency</w:t>
            </w:r>
          </w:p>
        </w:tc>
        <w:tc>
          <w:tcPr>
            <w:tcW w:w="1418" w:type="dxa"/>
            <w:tcBorders>
              <w:top w:val="nil"/>
              <w:left w:val="nil"/>
              <w:bottom w:val="single" w:sz="8" w:space="0" w:color="auto"/>
              <w:right w:val="single" w:sz="8" w:space="0" w:color="auto"/>
            </w:tcBorders>
            <w:shd w:val="clear" w:color="auto" w:fill="auto"/>
            <w:noWrap/>
            <w:vAlign w:val="bottom"/>
          </w:tcPr>
          <w:p w14:paraId="368E14B5" w14:textId="77777777" w:rsidR="000A13C3" w:rsidRPr="00264768" w:rsidRDefault="000A13C3" w:rsidP="000A13C3">
            <w:pPr>
              <w:jc w:val="right"/>
              <w:rPr>
                <w:rFonts w:cs="Arial"/>
              </w:rPr>
            </w:pPr>
          </w:p>
        </w:tc>
        <w:tc>
          <w:tcPr>
            <w:tcW w:w="1417" w:type="dxa"/>
            <w:tcBorders>
              <w:top w:val="nil"/>
              <w:left w:val="nil"/>
              <w:bottom w:val="single" w:sz="8" w:space="0" w:color="auto"/>
              <w:right w:val="single" w:sz="8" w:space="0" w:color="auto"/>
            </w:tcBorders>
            <w:shd w:val="clear" w:color="auto" w:fill="auto"/>
            <w:noWrap/>
            <w:vAlign w:val="bottom"/>
          </w:tcPr>
          <w:p w14:paraId="03BD31D6" w14:textId="77777777" w:rsidR="000A13C3" w:rsidRPr="00264768" w:rsidRDefault="00147B55" w:rsidP="000A13C3">
            <w:pPr>
              <w:jc w:val="right"/>
              <w:rPr>
                <w:rFonts w:cs="Arial"/>
              </w:rPr>
            </w:pPr>
            <w:r w:rsidRPr="00264768">
              <w:rPr>
                <w:rFonts w:cs="Arial"/>
              </w:rPr>
              <w:t>9.3</w:t>
            </w:r>
          </w:p>
        </w:tc>
      </w:tr>
      <w:tr w:rsidR="00CE2685" w14:paraId="4E44D8B1" w14:textId="77777777" w:rsidTr="00E37A08">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tcPr>
          <w:p w14:paraId="4A8EA8AE" w14:textId="77777777" w:rsidR="00214336" w:rsidRPr="00264768" w:rsidRDefault="00147B55" w:rsidP="000A13C3">
            <w:pPr>
              <w:rPr>
                <w:rFonts w:cs="Arial"/>
                <w:b/>
                <w:bCs/>
              </w:rPr>
            </w:pPr>
            <w:r w:rsidRPr="00264768">
              <w:rPr>
                <w:rFonts w:cs="Arial"/>
                <w:b/>
                <w:bCs/>
              </w:rPr>
              <w:t>Total</w:t>
            </w:r>
          </w:p>
        </w:tc>
        <w:tc>
          <w:tcPr>
            <w:tcW w:w="1418" w:type="dxa"/>
            <w:tcBorders>
              <w:top w:val="nil"/>
              <w:left w:val="nil"/>
              <w:bottom w:val="single" w:sz="8" w:space="0" w:color="auto"/>
              <w:right w:val="single" w:sz="8" w:space="0" w:color="auto"/>
            </w:tcBorders>
            <w:shd w:val="clear" w:color="auto" w:fill="auto"/>
            <w:noWrap/>
            <w:vAlign w:val="bottom"/>
          </w:tcPr>
          <w:p w14:paraId="5DE9FC2B" w14:textId="77777777" w:rsidR="00214336" w:rsidRPr="00264768" w:rsidRDefault="00147B55" w:rsidP="000A13C3">
            <w:pPr>
              <w:jc w:val="right"/>
              <w:rPr>
                <w:rFonts w:cs="Arial"/>
              </w:rPr>
            </w:pPr>
            <w:r w:rsidRPr="00264768">
              <w:rPr>
                <w:rFonts w:cs="Arial"/>
                <w:b/>
                <w:bCs/>
              </w:rPr>
              <w:t>45.9</w:t>
            </w:r>
          </w:p>
        </w:tc>
        <w:tc>
          <w:tcPr>
            <w:tcW w:w="1417" w:type="dxa"/>
            <w:tcBorders>
              <w:top w:val="nil"/>
              <w:left w:val="nil"/>
              <w:bottom w:val="single" w:sz="8" w:space="0" w:color="auto"/>
              <w:right w:val="single" w:sz="8" w:space="0" w:color="auto"/>
            </w:tcBorders>
            <w:shd w:val="clear" w:color="auto" w:fill="auto"/>
            <w:noWrap/>
            <w:vAlign w:val="bottom"/>
          </w:tcPr>
          <w:p w14:paraId="747BD91B" w14:textId="77777777" w:rsidR="00214336" w:rsidRPr="00264768" w:rsidRDefault="00147B55" w:rsidP="000A13C3">
            <w:pPr>
              <w:jc w:val="right"/>
              <w:rPr>
                <w:rFonts w:cs="Arial"/>
              </w:rPr>
            </w:pPr>
            <w:r w:rsidRPr="00264768">
              <w:rPr>
                <w:rFonts w:cs="Arial"/>
                <w:b/>
                <w:bCs/>
              </w:rPr>
              <w:t>144.</w:t>
            </w:r>
            <w:r w:rsidR="006065C0" w:rsidRPr="00264768">
              <w:rPr>
                <w:rFonts w:cs="Arial"/>
                <w:b/>
                <w:bCs/>
              </w:rPr>
              <w:t>1</w:t>
            </w:r>
          </w:p>
        </w:tc>
      </w:tr>
      <w:tr w:rsidR="00CE2685" w14:paraId="473AD530" w14:textId="77777777" w:rsidTr="00901725">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tcPr>
          <w:p w14:paraId="4239F01E" w14:textId="77777777" w:rsidR="00214336" w:rsidRPr="00264768" w:rsidRDefault="00214336" w:rsidP="000A13C3">
            <w:pPr>
              <w:rPr>
                <w:rFonts w:cs="Arial"/>
                <w:b/>
                <w:bCs/>
              </w:rPr>
            </w:pPr>
          </w:p>
        </w:tc>
        <w:tc>
          <w:tcPr>
            <w:tcW w:w="1418" w:type="dxa"/>
            <w:tcBorders>
              <w:top w:val="nil"/>
              <w:left w:val="nil"/>
              <w:bottom w:val="single" w:sz="8" w:space="0" w:color="auto"/>
              <w:right w:val="single" w:sz="8" w:space="0" w:color="auto"/>
            </w:tcBorders>
            <w:shd w:val="clear" w:color="auto" w:fill="auto"/>
            <w:noWrap/>
            <w:vAlign w:val="bottom"/>
          </w:tcPr>
          <w:p w14:paraId="43BD855E" w14:textId="77777777" w:rsidR="00214336" w:rsidRPr="00264768" w:rsidRDefault="00214336" w:rsidP="000A13C3">
            <w:pPr>
              <w:jc w:val="right"/>
              <w:rPr>
                <w:rFonts w:cs="Arial"/>
                <w:b/>
                <w:bCs/>
              </w:rPr>
            </w:pPr>
          </w:p>
        </w:tc>
        <w:tc>
          <w:tcPr>
            <w:tcW w:w="1417" w:type="dxa"/>
            <w:tcBorders>
              <w:top w:val="nil"/>
              <w:left w:val="nil"/>
              <w:bottom w:val="single" w:sz="8" w:space="0" w:color="auto"/>
              <w:right w:val="single" w:sz="8" w:space="0" w:color="auto"/>
            </w:tcBorders>
            <w:shd w:val="clear" w:color="auto" w:fill="auto"/>
            <w:noWrap/>
            <w:vAlign w:val="bottom"/>
          </w:tcPr>
          <w:p w14:paraId="58B23227" w14:textId="77777777" w:rsidR="00214336" w:rsidRPr="00264768" w:rsidRDefault="00214336" w:rsidP="000A13C3">
            <w:pPr>
              <w:jc w:val="right"/>
              <w:rPr>
                <w:rFonts w:cs="Arial"/>
                <w:b/>
                <w:bCs/>
              </w:rPr>
            </w:pPr>
          </w:p>
        </w:tc>
      </w:tr>
    </w:tbl>
    <w:p w14:paraId="3711762B" w14:textId="77777777" w:rsidR="000A13C3" w:rsidRPr="00264768" w:rsidRDefault="000A13C3" w:rsidP="000A13C3">
      <w:pPr>
        <w:jc w:val="both"/>
        <w:rPr>
          <w:rFonts w:eastAsia="Calibri" w:cs="Arial"/>
          <w:lang w:eastAsia="en-US"/>
        </w:rPr>
      </w:pPr>
    </w:p>
    <w:tbl>
      <w:tblPr>
        <w:tblW w:w="9040" w:type="dxa"/>
        <w:tblLook w:val="04A0" w:firstRow="1" w:lastRow="0" w:firstColumn="1" w:lastColumn="0" w:noHBand="0" w:noVBand="1"/>
      </w:tblPr>
      <w:tblGrid>
        <w:gridCol w:w="2967"/>
        <w:gridCol w:w="1130"/>
        <w:gridCol w:w="3673"/>
        <w:gridCol w:w="1270"/>
      </w:tblGrid>
      <w:tr w:rsidR="00CE2685" w14:paraId="17FDD663" w14:textId="77777777" w:rsidTr="00E37A08">
        <w:trPr>
          <w:trHeight w:val="269"/>
        </w:trPr>
        <w:tc>
          <w:tcPr>
            <w:tcW w:w="2967" w:type="dxa"/>
            <w:tcBorders>
              <w:top w:val="single" w:sz="4" w:space="0" w:color="auto"/>
              <w:left w:val="single" w:sz="4" w:space="0" w:color="auto"/>
              <w:bottom w:val="nil"/>
              <w:right w:val="nil"/>
            </w:tcBorders>
            <w:shd w:val="clear" w:color="auto" w:fill="auto"/>
            <w:noWrap/>
            <w:vAlign w:val="bottom"/>
            <w:hideMark/>
          </w:tcPr>
          <w:p w14:paraId="33EF2065" w14:textId="77777777" w:rsidR="000A13C3" w:rsidRPr="00264768" w:rsidRDefault="00147B55" w:rsidP="000A13C3">
            <w:pPr>
              <w:rPr>
                <w:rFonts w:cs="Arial"/>
                <w:b/>
                <w:bCs/>
              </w:rPr>
            </w:pPr>
            <w:r w:rsidRPr="00264768">
              <w:rPr>
                <w:rFonts w:cs="Arial"/>
                <w:b/>
                <w:bCs/>
              </w:rPr>
              <w:t>Total Expenditure £m</w:t>
            </w:r>
          </w:p>
        </w:tc>
        <w:tc>
          <w:tcPr>
            <w:tcW w:w="1130" w:type="dxa"/>
            <w:tcBorders>
              <w:top w:val="single" w:sz="4" w:space="0" w:color="auto"/>
              <w:left w:val="nil"/>
              <w:bottom w:val="nil"/>
              <w:right w:val="nil"/>
            </w:tcBorders>
            <w:shd w:val="clear" w:color="auto" w:fill="auto"/>
            <w:noWrap/>
            <w:vAlign w:val="bottom"/>
          </w:tcPr>
          <w:p w14:paraId="77BA952F" w14:textId="77777777" w:rsidR="000A13C3" w:rsidRPr="00264768" w:rsidRDefault="000A13C3" w:rsidP="000A13C3">
            <w:pPr>
              <w:jc w:val="right"/>
              <w:rPr>
                <w:rFonts w:cs="Arial"/>
                <w:b/>
                <w:bCs/>
              </w:rPr>
            </w:pPr>
          </w:p>
        </w:tc>
        <w:tc>
          <w:tcPr>
            <w:tcW w:w="3673" w:type="dxa"/>
            <w:tcBorders>
              <w:top w:val="single" w:sz="4" w:space="0" w:color="auto"/>
              <w:left w:val="nil"/>
              <w:bottom w:val="nil"/>
              <w:right w:val="single" w:sz="4" w:space="0" w:color="auto"/>
            </w:tcBorders>
            <w:shd w:val="clear" w:color="auto" w:fill="auto"/>
            <w:noWrap/>
            <w:vAlign w:val="bottom"/>
          </w:tcPr>
          <w:p w14:paraId="4BFA2BC0" w14:textId="77777777" w:rsidR="000A13C3" w:rsidRPr="00264768" w:rsidRDefault="000A13C3" w:rsidP="000A13C3">
            <w:pPr>
              <w:jc w:val="right"/>
              <w:rPr>
                <w:rFonts w:cs="Arial"/>
                <w:b/>
                <w:bCs/>
              </w:rPr>
            </w:pPr>
          </w:p>
        </w:tc>
        <w:tc>
          <w:tcPr>
            <w:tcW w:w="1270" w:type="dxa"/>
            <w:tcBorders>
              <w:top w:val="single" w:sz="4" w:space="0" w:color="auto"/>
              <w:left w:val="single" w:sz="4" w:space="0" w:color="auto"/>
              <w:bottom w:val="nil"/>
              <w:right w:val="single" w:sz="4" w:space="0" w:color="auto"/>
            </w:tcBorders>
            <w:shd w:val="clear" w:color="auto" w:fill="auto"/>
            <w:noWrap/>
            <w:vAlign w:val="bottom"/>
            <w:hideMark/>
          </w:tcPr>
          <w:p w14:paraId="576D525E" w14:textId="77777777" w:rsidR="000A13C3" w:rsidRPr="00264768" w:rsidRDefault="00147B55" w:rsidP="000A13C3">
            <w:pPr>
              <w:jc w:val="right"/>
              <w:rPr>
                <w:rFonts w:cs="Arial"/>
                <w:b/>
                <w:bCs/>
              </w:rPr>
            </w:pPr>
            <w:r w:rsidRPr="00264768">
              <w:rPr>
                <w:rFonts w:cs="Arial"/>
                <w:b/>
                <w:bCs/>
              </w:rPr>
              <w:t>190.</w:t>
            </w:r>
            <w:r w:rsidR="006349DA" w:rsidRPr="00264768">
              <w:rPr>
                <w:rFonts w:cs="Arial"/>
                <w:b/>
                <w:bCs/>
              </w:rPr>
              <w:t>0</w:t>
            </w:r>
          </w:p>
        </w:tc>
      </w:tr>
      <w:tr w:rsidR="00CE2685" w14:paraId="4040061A" w14:textId="77777777" w:rsidTr="00E37A08">
        <w:trPr>
          <w:trHeight w:val="269"/>
        </w:trPr>
        <w:tc>
          <w:tcPr>
            <w:tcW w:w="2967" w:type="dxa"/>
            <w:tcBorders>
              <w:top w:val="nil"/>
              <w:left w:val="single" w:sz="4" w:space="0" w:color="auto"/>
              <w:bottom w:val="nil"/>
              <w:right w:val="nil"/>
            </w:tcBorders>
            <w:shd w:val="clear" w:color="auto" w:fill="auto"/>
            <w:noWrap/>
            <w:vAlign w:val="bottom"/>
            <w:hideMark/>
          </w:tcPr>
          <w:p w14:paraId="00165F92" w14:textId="77777777" w:rsidR="000A13C3" w:rsidRPr="00264768" w:rsidRDefault="00147B55" w:rsidP="000A13C3">
            <w:pPr>
              <w:rPr>
                <w:rFonts w:cs="Arial"/>
                <w:b/>
                <w:bCs/>
              </w:rPr>
            </w:pPr>
            <w:r w:rsidRPr="00264768">
              <w:rPr>
                <w:rFonts w:cs="Arial"/>
                <w:b/>
                <w:bCs/>
              </w:rPr>
              <w:t>Total Income £m</w:t>
            </w:r>
          </w:p>
        </w:tc>
        <w:tc>
          <w:tcPr>
            <w:tcW w:w="1130" w:type="dxa"/>
            <w:tcBorders>
              <w:top w:val="nil"/>
              <w:left w:val="nil"/>
              <w:bottom w:val="nil"/>
              <w:right w:val="nil"/>
            </w:tcBorders>
            <w:shd w:val="clear" w:color="auto" w:fill="auto"/>
            <w:noWrap/>
            <w:vAlign w:val="bottom"/>
            <w:hideMark/>
          </w:tcPr>
          <w:p w14:paraId="755D2214" w14:textId="77777777" w:rsidR="000A13C3" w:rsidRPr="00264768" w:rsidRDefault="000A13C3" w:rsidP="000A13C3">
            <w:pPr>
              <w:rPr>
                <w:rFonts w:cs="Arial"/>
                <w:b/>
                <w:bCs/>
              </w:rPr>
            </w:pPr>
          </w:p>
        </w:tc>
        <w:tc>
          <w:tcPr>
            <w:tcW w:w="3673" w:type="dxa"/>
            <w:tcBorders>
              <w:top w:val="nil"/>
              <w:left w:val="nil"/>
              <w:bottom w:val="nil"/>
              <w:right w:val="single" w:sz="4" w:space="0" w:color="auto"/>
            </w:tcBorders>
            <w:shd w:val="clear" w:color="auto" w:fill="auto"/>
            <w:noWrap/>
            <w:vAlign w:val="bottom"/>
            <w:hideMark/>
          </w:tcPr>
          <w:p w14:paraId="10F14265" w14:textId="77777777" w:rsidR="000A13C3" w:rsidRPr="00264768" w:rsidRDefault="000A13C3" w:rsidP="000A13C3">
            <w:pPr>
              <w:rPr>
                <w:rFonts w:cs="Arial"/>
                <w:b/>
                <w:bCs/>
              </w:rPr>
            </w:pPr>
          </w:p>
        </w:tc>
        <w:tc>
          <w:tcPr>
            <w:tcW w:w="1270" w:type="dxa"/>
            <w:tcBorders>
              <w:top w:val="nil"/>
              <w:left w:val="single" w:sz="4" w:space="0" w:color="auto"/>
              <w:bottom w:val="nil"/>
              <w:right w:val="single" w:sz="4" w:space="0" w:color="auto"/>
            </w:tcBorders>
            <w:shd w:val="clear" w:color="auto" w:fill="auto"/>
            <w:noWrap/>
            <w:vAlign w:val="bottom"/>
            <w:hideMark/>
          </w:tcPr>
          <w:p w14:paraId="128CD7D0" w14:textId="77777777" w:rsidR="00214336" w:rsidRPr="00264768" w:rsidRDefault="00147B55" w:rsidP="00214336">
            <w:pPr>
              <w:jc w:val="right"/>
              <w:rPr>
                <w:rFonts w:cs="Arial"/>
                <w:b/>
                <w:bCs/>
              </w:rPr>
            </w:pPr>
            <w:r w:rsidRPr="00264768">
              <w:rPr>
                <w:rFonts w:cs="Arial"/>
                <w:b/>
                <w:bCs/>
              </w:rPr>
              <w:t>193.0</w:t>
            </w:r>
          </w:p>
        </w:tc>
      </w:tr>
      <w:tr w:rsidR="00CE2685" w14:paraId="35DEAFFB" w14:textId="77777777" w:rsidTr="00E37A08">
        <w:trPr>
          <w:trHeight w:val="269"/>
        </w:trPr>
        <w:tc>
          <w:tcPr>
            <w:tcW w:w="2967" w:type="dxa"/>
            <w:tcBorders>
              <w:top w:val="nil"/>
              <w:left w:val="single" w:sz="4" w:space="0" w:color="auto"/>
              <w:bottom w:val="nil"/>
              <w:right w:val="nil"/>
            </w:tcBorders>
            <w:shd w:val="clear" w:color="auto" w:fill="auto"/>
            <w:noWrap/>
            <w:vAlign w:val="bottom"/>
            <w:hideMark/>
          </w:tcPr>
          <w:p w14:paraId="7336EE7B" w14:textId="77777777" w:rsidR="000A13C3" w:rsidRPr="00264768" w:rsidRDefault="00147B55" w:rsidP="000A13C3">
            <w:pPr>
              <w:rPr>
                <w:rFonts w:cs="Arial"/>
                <w:b/>
                <w:bCs/>
              </w:rPr>
            </w:pPr>
            <w:r w:rsidRPr="00264768">
              <w:rPr>
                <w:rFonts w:cs="Arial"/>
                <w:b/>
                <w:bCs/>
              </w:rPr>
              <w:t>Underspend £m</w:t>
            </w:r>
          </w:p>
        </w:tc>
        <w:tc>
          <w:tcPr>
            <w:tcW w:w="1130" w:type="dxa"/>
            <w:tcBorders>
              <w:top w:val="nil"/>
              <w:left w:val="nil"/>
              <w:bottom w:val="nil"/>
              <w:right w:val="nil"/>
            </w:tcBorders>
            <w:shd w:val="clear" w:color="auto" w:fill="auto"/>
            <w:noWrap/>
            <w:vAlign w:val="bottom"/>
            <w:hideMark/>
          </w:tcPr>
          <w:p w14:paraId="1D67D920" w14:textId="77777777" w:rsidR="000A13C3" w:rsidRPr="00264768" w:rsidRDefault="000A13C3" w:rsidP="000A13C3">
            <w:pPr>
              <w:rPr>
                <w:rFonts w:cs="Arial"/>
                <w:b/>
                <w:bCs/>
              </w:rPr>
            </w:pPr>
          </w:p>
        </w:tc>
        <w:tc>
          <w:tcPr>
            <w:tcW w:w="3673" w:type="dxa"/>
            <w:tcBorders>
              <w:top w:val="nil"/>
              <w:left w:val="nil"/>
              <w:bottom w:val="nil"/>
              <w:right w:val="single" w:sz="4" w:space="0" w:color="auto"/>
            </w:tcBorders>
            <w:shd w:val="clear" w:color="auto" w:fill="auto"/>
            <w:noWrap/>
            <w:vAlign w:val="bottom"/>
            <w:hideMark/>
          </w:tcPr>
          <w:p w14:paraId="34015E97" w14:textId="77777777" w:rsidR="000A13C3" w:rsidRPr="00264768" w:rsidRDefault="000A13C3" w:rsidP="000A13C3">
            <w:pPr>
              <w:rPr>
                <w:rFonts w:cs="Arial"/>
                <w:b/>
                <w:bCs/>
              </w:rPr>
            </w:pPr>
          </w:p>
        </w:tc>
        <w:tc>
          <w:tcPr>
            <w:tcW w:w="1270" w:type="dxa"/>
            <w:tcBorders>
              <w:top w:val="nil"/>
              <w:left w:val="single" w:sz="4" w:space="0" w:color="auto"/>
              <w:bottom w:val="nil"/>
              <w:right w:val="single" w:sz="4" w:space="0" w:color="auto"/>
            </w:tcBorders>
            <w:shd w:val="clear" w:color="auto" w:fill="auto"/>
            <w:noWrap/>
            <w:vAlign w:val="bottom"/>
            <w:hideMark/>
          </w:tcPr>
          <w:p w14:paraId="3396A903" w14:textId="77777777" w:rsidR="000A13C3" w:rsidRPr="00264768" w:rsidRDefault="00147B55" w:rsidP="000A13C3">
            <w:pPr>
              <w:jc w:val="right"/>
              <w:rPr>
                <w:rFonts w:cs="Arial"/>
                <w:b/>
                <w:bCs/>
              </w:rPr>
            </w:pPr>
            <w:r w:rsidRPr="00264768">
              <w:rPr>
                <w:rFonts w:cs="Arial"/>
                <w:b/>
                <w:bCs/>
              </w:rPr>
              <w:t>3.0</w:t>
            </w:r>
          </w:p>
        </w:tc>
      </w:tr>
      <w:tr w:rsidR="00CE2685" w14:paraId="4A92AAC6" w14:textId="77777777" w:rsidTr="00E37A08">
        <w:trPr>
          <w:trHeight w:val="269"/>
        </w:trPr>
        <w:tc>
          <w:tcPr>
            <w:tcW w:w="2967" w:type="dxa"/>
            <w:tcBorders>
              <w:top w:val="nil"/>
              <w:left w:val="single" w:sz="4" w:space="0" w:color="auto"/>
              <w:bottom w:val="nil"/>
              <w:right w:val="nil"/>
            </w:tcBorders>
            <w:shd w:val="clear" w:color="auto" w:fill="auto"/>
            <w:noWrap/>
            <w:vAlign w:val="bottom"/>
          </w:tcPr>
          <w:p w14:paraId="3B120C7F" w14:textId="77777777" w:rsidR="000A13C3" w:rsidRPr="00264768" w:rsidRDefault="000A13C3" w:rsidP="000A13C3">
            <w:pPr>
              <w:rPr>
                <w:rFonts w:cs="Arial"/>
                <w:b/>
                <w:bCs/>
              </w:rPr>
            </w:pPr>
          </w:p>
        </w:tc>
        <w:tc>
          <w:tcPr>
            <w:tcW w:w="1130" w:type="dxa"/>
            <w:tcBorders>
              <w:top w:val="nil"/>
              <w:left w:val="nil"/>
              <w:bottom w:val="nil"/>
              <w:right w:val="nil"/>
            </w:tcBorders>
            <w:shd w:val="clear" w:color="auto" w:fill="auto"/>
            <w:noWrap/>
            <w:vAlign w:val="bottom"/>
          </w:tcPr>
          <w:p w14:paraId="3E763596" w14:textId="77777777" w:rsidR="000A13C3" w:rsidRPr="00264768" w:rsidRDefault="000A13C3" w:rsidP="000A13C3">
            <w:pPr>
              <w:rPr>
                <w:rFonts w:cs="Arial"/>
                <w:b/>
                <w:bCs/>
              </w:rPr>
            </w:pPr>
          </w:p>
        </w:tc>
        <w:tc>
          <w:tcPr>
            <w:tcW w:w="3673" w:type="dxa"/>
            <w:tcBorders>
              <w:top w:val="nil"/>
              <w:left w:val="nil"/>
              <w:bottom w:val="nil"/>
              <w:right w:val="single" w:sz="4" w:space="0" w:color="auto"/>
            </w:tcBorders>
            <w:shd w:val="clear" w:color="auto" w:fill="auto"/>
            <w:noWrap/>
            <w:vAlign w:val="bottom"/>
          </w:tcPr>
          <w:p w14:paraId="57F27FFA" w14:textId="77777777" w:rsidR="000A13C3" w:rsidRPr="00264768" w:rsidRDefault="000A13C3" w:rsidP="000A13C3">
            <w:pPr>
              <w:rPr>
                <w:rFonts w:cs="Arial"/>
                <w:b/>
                <w:bCs/>
              </w:rPr>
            </w:pPr>
          </w:p>
        </w:tc>
        <w:tc>
          <w:tcPr>
            <w:tcW w:w="1270" w:type="dxa"/>
            <w:tcBorders>
              <w:top w:val="nil"/>
              <w:left w:val="single" w:sz="4" w:space="0" w:color="auto"/>
              <w:bottom w:val="nil"/>
              <w:right w:val="single" w:sz="4" w:space="0" w:color="auto"/>
            </w:tcBorders>
            <w:shd w:val="clear" w:color="auto" w:fill="auto"/>
            <w:noWrap/>
            <w:vAlign w:val="bottom"/>
          </w:tcPr>
          <w:p w14:paraId="0D247469" w14:textId="77777777" w:rsidR="000A13C3" w:rsidRPr="00264768" w:rsidRDefault="000A13C3" w:rsidP="000A13C3">
            <w:pPr>
              <w:rPr>
                <w:rFonts w:cs="Arial"/>
                <w:b/>
                <w:bCs/>
              </w:rPr>
            </w:pPr>
          </w:p>
        </w:tc>
      </w:tr>
      <w:tr w:rsidR="00CE2685" w14:paraId="26ED8158" w14:textId="77777777" w:rsidTr="00E37A08">
        <w:trPr>
          <w:trHeight w:val="269"/>
        </w:trPr>
        <w:tc>
          <w:tcPr>
            <w:tcW w:w="4097" w:type="dxa"/>
            <w:gridSpan w:val="2"/>
            <w:tcBorders>
              <w:top w:val="nil"/>
              <w:left w:val="single" w:sz="4" w:space="0" w:color="auto"/>
              <w:bottom w:val="single" w:sz="4" w:space="0" w:color="auto"/>
              <w:right w:val="nil"/>
            </w:tcBorders>
            <w:shd w:val="clear" w:color="auto" w:fill="auto"/>
            <w:noWrap/>
            <w:vAlign w:val="bottom"/>
          </w:tcPr>
          <w:p w14:paraId="77AE4478" w14:textId="77777777" w:rsidR="000A13C3" w:rsidRPr="00264768" w:rsidRDefault="000A13C3" w:rsidP="000A13C3">
            <w:pPr>
              <w:rPr>
                <w:rFonts w:cs="Arial"/>
                <w:b/>
                <w:bCs/>
              </w:rPr>
            </w:pPr>
          </w:p>
        </w:tc>
        <w:tc>
          <w:tcPr>
            <w:tcW w:w="3673" w:type="dxa"/>
            <w:tcBorders>
              <w:top w:val="nil"/>
              <w:left w:val="nil"/>
              <w:bottom w:val="single" w:sz="4" w:space="0" w:color="auto"/>
              <w:right w:val="single" w:sz="4" w:space="0" w:color="auto"/>
            </w:tcBorders>
            <w:shd w:val="clear" w:color="auto" w:fill="auto"/>
            <w:noWrap/>
            <w:vAlign w:val="bottom"/>
          </w:tcPr>
          <w:p w14:paraId="7385A7ED" w14:textId="77777777" w:rsidR="000A13C3" w:rsidRPr="00264768" w:rsidRDefault="000A13C3" w:rsidP="000A13C3">
            <w:pPr>
              <w:rPr>
                <w:rFonts w:cs="Arial"/>
                <w:b/>
                <w:bCs/>
              </w:rPr>
            </w:pP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9882482" w14:textId="77777777" w:rsidR="000A13C3" w:rsidRPr="00264768" w:rsidRDefault="000A13C3" w:rsidP="000A13C3">
            <w:pPr>
              <w:jc w:val="right"/>
              <w:rPr>
                <w:rFonts w:cs="Arial"/>
                <w:b/>
                <w:bCs/>
              </w:rPr>
            </w:pPr>
          </w:p>
        </w:tc>
      </w:tr>
    </w:tbl>
    <w:p w14:paraId="0087D8F3" w14:textId="77777777" w:rsidR="000A13C3" w:rsidRPr="00264768" w:rsidRDefault="000A13C3" w:rsidP="000A13C3">
      <w:pPr>
        <w:jc w:val="both"/>
        <w:rPr>
          <w:rFonts w:eastAsia="Calibri" w:cs="Arial"/>
          <w:lang w:eastAsia="en-US"/>
        </w:rPr>
      </w:pPr>
    </w:p>
    <w:p w14:paraId="769A9CCB" w14:textId="77777777" w:rsidR="00BE41BF" w:rsidRDefault="00147B55" w:rsidP="000A13C3">
      <w:pPr>
        <w:jc w:val="both"/>
        <w:rPr>
          <w:rFonts w:eastAsia="Calibri" w:cs="Arial"/>
          <w:lang w:eastAsia="en-US"/>
        </w:rPr>
      </w:pPr>
      <w:r w:rsidRPr="00E55FF8">
        <w:rPr>
          <w:rFonts w:eastAsia="Calibri" w:cs="Arial"/>
          <w:lang w:eastAsia="en-US"/>
        </w:rPr>
        <w:t>In 2023/24, a total of £190m is expected to be spent on the High Needs Block, compared to a budget of £193m. There will be a contingency fund for this underspend until we have more information regarding the increase in demand as we move into the financial year of 2023/24.</w:t>
      </w:r>
    </w:p>
    <w:p w14:paraId="139D8BAC" w14:textId="77777777" w:rsidR="00E55FF8" w:rsidRPr="00264768" w:rsidRDefault="00E55FF8" w:rsidP="000A13C3">
      <w:pPr>
        <w:jc w:val="both"/>
        <w:rPr>
          <w:rFonts w:eastAsia="Calibri" w:cs="Arial"/>
          <w:lang w:eastAsia="en-US"/>
        </w:rPr>
      </w:pPr>
    </w:p>
    <w:p w14:paraId="1E040F84" w14:textId="77777777" w:rsidR="000A13C3" w:rsidRPr="00264768" w:rsidRDefault="00147B55" w:rsidP="000A13C3">
      <w:pPr>
        <w:jc w:val="both"/>
        <w:rPr>
          <w:rFonts w:eastAsia="Calibri" w:cs="Arial"/>
          <w:lang w:eastAsia="en-US"/>
        </w:rPr>
      </w:pPr>
      <w:r w:rsidRPr="00264768">
        <w:rPr>
          <w:rFonts w:eastAsia="Calibri" w:cs="Arial"/>
          <w:lang w:eastAsia="en-US"/>
        </w:rPr>
        <w:t xml:space="preserve"> Assumptions included in the figures are listed below:</w:t>
      </w:r>
    </w:p>
    <w:p w14:paraId="1CD4001D" w14:textId="77777777" w:rsidR="000A13C3" w:rsidRPr="00264768" w:rsidRDefault="000A13C3" w:rsidP="000A13C3">
      <w:pPr>
        <w:jc w:val="both"/>
        <w:rPr>
          <w:rFonts w:eastAsia="Calibri" w:cs="Arial"/>
          <w:lang w:eastAsia="en-US"/>
        </w:rPr>
      </w:pPr>
    </w:p>
    <w:p w14:paraId="0C15251E" w14:textId="77777777" w:rsidR="000A13C3" w:rsidRPr="00264768" w:rsidRDefault="00147B55" w:rsidP="00C26D1E">
      <w:pPr>
        <w:pStyle w:val="ListParagraph"/>
        <w:numPr>
          <w:ilvl w:val="0"/>
          <w:numId w:val="21"/>
        </w:numPr>
        <w:jc w:val="both"/>
        <w:rPr>
          <w:rFonts w:cs="Arial"/>
        </w:rPr>
      </w:pPr>
      <w:r w:rsidRPr="00264768">
        <w:rPr>
          <w:rFonts w:cs="Arial"/>
        </w:rPr>
        <w:t xml:space="preserve">This forecast expenditure includes an estimate of the considerable cost and </w:t>
      </w:r>
      <w:r w:rsidR="00E55FF8">
        <w:rPr>
          <w:rFonts w:cs="Arial"/>
        </w:rPr>
        <w:t>demand-led</w:t>
      </w:r>
      <w:r w:rsidRPr="00264768">
        <w:rPr>
          <w:rFonts w:cs="Arial"/>
        </w:rPr>
        <w:t xml:space="preserve"> pressures facing the block in 2023/24. </w:t>
      </w:r>
      <w:r w:rsidR="00605C6F" w:rsidRPr="00264768">
        <w:rPr>
          <w:rFonts w:cs="Arial"/>
        </w:rPr>
        <w:t xml:space="preserve">Based on historical trend data we have included a forecasted increase of 8% over the </w:t>
      </w:r>
      <w:r w:rsidR="00264768">
        <w:rPr>
          <w:rFonts w:cs="Arial"/>
        </w:rPr>
        <w:t>20</w:t>
      </w:r>
      <w:r w:rsidR="00605C6F" w:rsidRPr="00264768">
        <w:rPr>
          <w:rFonts w:cs="Arial"/>
        </w:rPr>
        <w:t xml:space="preserve">23/24 financial year, the expenditure figures above include this </w:t>
      </w:r>
      <w:r w:rsidR="003F5ED9" w:rsidRPr="00264768">
        <w:rPr>
          <w:rFonts w:cs="Arial"/>
        </w:rPr>
        <w:t>increase</w:t>
      </w:r>
      <w:r w:rsidR="00F1779A">
        <w:rPr>
          <w:rFonts w:cs="Arial"/>
        </w:rPr>
        <w:t>.</w:t>
      </w:r>
    </w:p>
    <w:p w14:paraId="223D9571" w14:textId="77777777" w:rsidR="003F5ED9" w:rsidRPr="00264768" w:rsidRDefault="003F5ED9" w:rsidP="000A13C3">
      <w:pPr>
        <w:jc w:val="both"/>
        <w:rPr>
          <w:rFonts w:cs="Arial"/>
        </w:rPr>
      </w:pPr>
    </w:p>
    <w:p w14:paraId="2F9AC39A" w14:textId="77777777" w:rsidR="000A13C3" w:rsidRPr="00264768" w:rsidRDefault="00147B55" w:rsidP="000A13C3">
      <w:pPr>
        <w:pStyle w:val="ListParagraph"/>
        <w:numPr>
          <w:ilvl w:val="0"/>
          <w:numId w:val="21"/>
        </w:numPr>
        <w:jc w:val="both"/>
        <w:rPr>
          <w:rFonts w:cs="Arial"/>
        </w:rPr>
      </w:pPr>
      <w:r w:rsidRPr="00264768">
        <w:rPr>
          <w:rFonts w:cs="Arial"/>
        </w:rPr>
        <w:t>3% has been</w:t>
      </w:r>
      <w:r w:rsidR="003F5ED9" w:rsidRPr="00264768">
        <w:rPr>
          <w:rFonts w:cs="Arial"/>
        </w:rPr>
        <w:t xml:space="preserve"> included a</w:t>
      </w:r>
      <w:r w:rsidRPr="00264768">
        <w:rPr>
          <w:rFonts w:cs="Arial"/>
        </w:rPr>
        <w:t>s a</w:t>
      </w:r>
      <w:r w:rsidR="003F5ED9" w:rsidRPr="00264768">
        <w:rPr>
          <w:rFonts w:cs="Arial"/>
        </w:rPr>
        <w:t xml:space="preserve"> forecasted inflationary increase on </w:t>
      </w:r>
      <w:r w:rsidR="00B06761" w:rsidRPr="00264768">
        <w:rPr>
          <w:rFonts w:cs="Arial"/>
        </w:rPr>
        <w:t>Commissioned</w:t>
      </w:r>
      <w:r w:rsidR="003F5ED9" w:rsidRPr="00264768">
        <w:rPr>
          <w:rFonts w:cs="Arial"/>
        </w:rPr>
        <w:t xml:space="preserve"> services</w:t>
      </w:r>
      <w:r w:rsidRPr="00264768">
        <w:rPr>
          <w:rFonts w:cs="Arial"/>
        </w:rPr>
        <w:t>, this is largely</w:t>
      </w:r>
      <w:r w:rsidR="003F5ED9" w:rsidRPr="00264768">
        <w:rPr>
          <w:rFonts w:cs="Arial"/>
        </w:rPr>
        <w:t xml:space="preserve"> to account for staffing increases on services we </w:t>
      </w:r>
      <w:r w:rsidRPr="00264768">
        <w:rPr>
          <w:rFonts w:cs="Arial"/>
        </w:rPr>
        <w:t>commission</w:t>
      </w:r>
      <w:r w:rsidR="00F1779A">
        <w:rPr>
          <w:rFonts w:cs="Arial"/>
        </w:rPr>
        <w:t>.</w:t>
      </w:r>
    </w:p>
    <w:p w14:paraId="6BB226C2" w14:textId="77777777" w:rsidR="000A13C3" w:rsidRPr="00264768" w:rsidRDefault="00147B55" w:rsidP="00C26D1E">
      <w:pPr>
        <w:pStyle w:val="ListParagraph"/>
        <w:numPr>
          <w:ilvl w:val="0"/>
          <w:numId w:val="21"/>
        </w:numPr>
        <w:jc w:val="both"/>
        <w:rPr>
          <w:rFonts w:cs="Arial"/>
        </w:rPr>
      </w:pPr>
      <w:r w:rsidRPr="00264768">
        <w:rPr>
          <w:rFonts w:cs="Arial"/>
        </w:rPr>
        <w:lastRenderedPageBreak/>
        <w:t xml:space="preserve">In </w:t>
      </w:r>
      <w:r w:rsidR="00422940" w:rsidRPr="00264768">
        <w:rPr>
          <w:rFonts w:cs="Arial"/>
        </w:rPr>
        <w:t>addition, the</w:t>
      </w:r>
      <w:r w:rsidRPr="00264768">
        <w:rPr>
          <w:rFonts w:cs="Arial"/>
        </w:rPr>
        <w:t xml:space="preserve"> Weighted Pupil Number values supporting all </w:t>
      </w:r>
      <w:r w:rsidR="00F1779A">
        <w:rPr>
          <w:rFonts w:cs="Arial"/>
        </w:rPr>
        <w:t>high-needs</w:t>
      </w:r>
      <w:r w:rsidRPr="00264768">
        <w:rPr>
          <w:rFonts w:cs="Arial"/>
        </w:rPr>
        <w:t xml:space="preserve"> pupils are proposed to increase by </w:t>
      </w:r>
      <w:r w:rsidR="00C26D1E" w:rsidRPr="00264768">
        <w:rPr>
          <w:rFonts w:cs="Arial"/>
        </w:rPr>
        <w:t>3</w:t>
      </w:r>
      <w:r w:rsidRPr="00264768">
        <w:rPr>
          <w:rFonts w:cs="Arial"/>
        </w:rPr>
        <w:t>% in 20</w:t>
      </w:r>
      <w:r w:rsidR="00C26D1E" w:rsidRPr="00264768">
        <w:rPr>
          <w:rFonts w:cs="Arial"/>
        </w:rPr>
        <w:t>23/24</w:t>
      </w:r>
      <w:r w:rsidRPr="00264768">
        <w:rPr>
          <w:rFonts w:cs="Arial"/>
        </w:rPr>
        <w:t xml:space="preserve">. </w:t>
      </w:r>
    </w:p>
    <w:p w14:paraId="2C85D571" w14:textId="77777777" w:rsidR="004B0897" w:rsidRPr="00264768" w:rsidRDefault="004B0897" w:rsidP="004B0897">
      <w:pPr>
        <w:pStyle w:val="ListParagraph"/>
        <w:rPr>
          <w:rFonts w:cs="Arial"/>
        </w:rPr>
      </w:pPr>
    </w:p>
    <w:p w14:paraId="255A185C" w14:textId="77777777" w:rsidR="004B0897" w:rsidRPr="00264768" w:rsidRDefault="00147B55" w:rsidP="00C26D1E">
      <w:pPr>
        <w:pStyle w:val="ListParagraph"/>
        <w:numPr>
          <w:ilvl w:val="0"/>
          <w:numId w:val="21"/>
        </w:numPr>
        <w:jc w:val="both"/>
        <w:rPr>
          <w:rFonts w:cs="Arial"/>
        </w:rPr>
      </w:pPr>
      <w:r w:rsidRPr="00264768">
        <w:rPr>
          <w:rFonts w:cs="Arial"/>
        </w:rPr>
        <w:t xml:space="preserve">The Additional High Needs funding has been earmarked in the above </w:t>
      </w:r>
      <w:r w:rsidR="00AE2E13" w:rsidRPr="00264768">
        <w:rPr>
          <w:rFonts w:cs="Arial"/>
        </w:rPr>
        <w:t>figures;</w:t>
      </w:r>
      <w:r w:rsidRPr="00264768">
        <w:rPr>
          <w:rFonts w:cs="Arial"/>
        </w:rPr>
        <w:t xml:space="preserve"> further discussions are to be held </w:t>
      </w:r>
      <w:r w:rsidR="00F1779A">
        <w:rPr>
          <w:rFonts w:cs="Arial"/>
        </w:rPr>
        <w:t xml:space="preserve">at </w:t>
      </w:r>
      <w:r w:rsidRPr="00264768">
        <w:rPr>
          <w:rFonts w:cs="Arial"/>
        </w:rPr>
        <w:t xml:space="preserve">a Schools Forum to confirm how they want the funding distributed. All Special Schools and PRUS will receive a 3.4% increase as per the guidance published, but this will leave an unallocated amount to be distributed to the remaining sectors based on </w:t>
      </w:r>
      <w:r w:rsidR="00F1779A">
        <w:rPr>
          <w:rFonts w:cs="Arial"/>
        </w:rPr>
        <w:t xml:space="preserve">the </w:t>
      </w:r>
      <w:r w:rsidRPr="00264768">
        <w:rPr>
          <w:rFonts w:cs="Arial"/>
        </w:rPr>
        <w:t>Schools Forum recommendation</w:t>
      </w:r>
      <w:r w:rsidR="00F1779A">
        <w:rPr>
          <w:rFonts w:cs="Arial"/>
        </w:rPr>
        <w:t>.</w:t>
      </w:r>
    </w:p>
    <w:p w14:paraId="0C653FC4" w14:textId="77777777" w:rsidR="000A13C3" w:rsidRPr="00264768" w:rsidRDefault="000A13C3" w:rsidP="000A13C3">
      <w:pPr>
        <w:jc w:val="both"/>
        <w:rPr>
          <w:rFonts w:cs="Arial"/>
        </w:rPr>
      </w:pPr>
    </w:p>
    <w:p w14:paraId="234BFA7A" w14:textId="77777777" w:rsidR="000A13C3" w:rsidRPr="00264768" w:rsidRDefault="00147B55" w:rsidP="00C26D1E">
      <w:pPr>
        <w:pStyle w:val="ListParagraph"/>
        <w:numPr>
          <w:ilvl w:val="0"/>
          <w:numId w:val="21"/>
        </w:numPr>
        <w:jc w:val="both"/>
        <w:rPr>
          <w:rFonts w:cs="Arial"/>
        </w:rPr>
      </w:pPr>
      <w:r w:rsidRPr="00264768">
        <w:rPr>
          <w:rFonts w:eastAsia="Calibri" w:cs="Arial"/>
          <w:lang w:eastAsia="en-US"/>
        </w:rPr>
        <w:t>The circa £</w:t>
      </w:r>
      <w:r w:rsidR="00C26D1E" w:rsidRPr="00264768">
        <w:rPr>
          <w:rFonts w:eastAsia="Calibri" w:cs="Arial"/>
          <w:lang w:eastAsia="en-US"/>
        </w:rPr>
        <w:t>9.3m</w:t>
      </w:r>
      <w:r w:rsidRPr="00264768">
        <w:rPr>
          <w:rFonts w:eastAsia="Calibri" w:cs="Arial"/>
          <w:lang w:eastAsia="en-US"/>
        </w:rPr>
        <w:t xml:space="preserve"> of deductions in the Dedicated Schools Grant notifications have been budgeted here, as this relates to </w:t>
      </w:r>
      <w:r w:rsidRPr="00264768">
        <w:rPr>
          <w:rFonts w:cs="Arial"/>
        </w:rPr>
        <w:t xml:space="preserve">direct </w:t>
      </w:r>
      <w:r w:rsidR="00F1779A">
        <w:rPr>
          <w:rFonts w:cs="Arial"/>
        </w:rPr>
        <w:t>high-needs</w:t>
      </w:r>
      <w:r w:rsidRPr="00264768">
        <w:rPr>
          <w:rFonts w:cs="Arial"/>
        </w:rPr>
        <w:t xml:space="preserve"> payments made by the Education and Skills Funding Agency</w:t>
      </w:r>
      <w:r w:rsidR="00C26D1E" w:rsidRPr="00264768">
        <w:rPr>
          <w:rFonts w:cs="Arial"/>
        </w:rPr>
        <w:t xml:space="preserve"> and will be deducted </w:t>
      </w:r>
      <w:r w:rsidR="00F1779A">
        <w:rPr>
          <w:rFonts w:cs="Arial"/>
        </w:rPr>
        <w:t>from</w:t>
      </w:r>
      <w:r w:rsidR="00C26D1E" w:rsidRPr="00264768">
        <w:rPr>
          <w:rFonts w:cs="Arial"/>
        </w:rPr>
        <w:t xml:space="preserve"> our allocation</w:t>
      </w:r>
      <w:r w:rsidRPr="00264768">
        <w:rPr>
          <w:rFonts w:cs="Arial"/>
        </w:rPr>
        <w:t>.</w:t>
      </w:r>
    </w:p>
    <w:p w14:paraId="34D4DD9B" w14:textId="77777777" w:rsidR="00042AB1" w:rsidRPr="00264768" w:rsidRDefault="00042AB1" w:rsidP="00042AB1">
      <w:pPr>
        <w:pStyle w:val="ListParagraph"/>
        <w:rPr>
          <w:rFonts w:cs="Arial"/>
        </w:rPr>
      </w:pPr>
    </w:p>
    <w:p w14:paraId="6546617E" w14:textId="77777777" w:rsidR="00042AB1" w:rsidRPr="00264768" w:rsidRDefault="00147B55" w:rsidP="00C26D1E">
      <w:pPr>
        <w:pStyle w:val="ListParagraph"/>
        <w:numPr>
          <w:ilvl w:val="0"/>
          <w:numId w:val="21"/>
        </w:numPr>
        <w:jc w:val="both"/>
        <w:rPr>
          <w:rFonts w:cs="Arial"/>
        </w:rPr>
      </w:pPr>
      <w:bookmarkStart w:id="2" w:name="_Hlk123026917"/>
      <w:r w:rsidRPr="00264768">
        <w:rPr>
          <w:rFonts w:cs="Arial"/>
        </w:rPr>
        <w:t xml:space="preserve">An increase </w:t>
      </w:r>
      <w:r w:rsidR="00F1779A">
        <w:rPr>
          <w:rFonts w:cs="Arial"/>
        </w:rPr>
        <w:t>in</w:t>
      </w:r>
      <w:r w:rsidRPr="00264768">
        <w:rPr>
          <w:rFonts w:cs="Arial"/>
        </w:rPr>
        <w:t xml:space="preserve"> PRU places of 3</w:t>
      </w:r>
      <w:r w:rsidR="00DC4C1A">
        <w:rPr>
          <w:rFonts w:cs="Arial"/>
        </w:rPr>
        <w:t>9</w:t>
      </w:r>
      <w:r w:rsidRPr="00264768">
        <w:rPr>
          <w:rFonts w:cs="Arial"/>
        </w:rPr>
        <w:t xml:space="preserve"> from September 2023 as per discussions with the Head of Inclusion and</w:t>
      </w:r>
      <w:r w:rsidR="007426BD" w:rsidRPr="00264768">
        <w:rPr>
          <w:rFonts w:cs="Arial"/>
        </w:rPr>
        <w:t xml:space="preserve"> PRU heads</w:t>
      </w:r>
      <w:r w:rsidR="00F1779A">
        <w:rPr>
          <w:rFonts w:cs="Arial"/>
        </w:rPr>
        <w:t>.</w:t>
      </w:r>
    </w:p>
    <w:bookmarkEnd w:id="2"/>
    <w:p w14:paraId="581704F9" w14:textId="77777777" w:rsidR="000A13C3" w:rsidRPr="00264768" w:rsidRDefault="000A13C3" w:rsidP="000A13C3">
      <w:pPr>
        <w:jc w:val="both"/>
        <w:rPr>
          <w:rFonts w:eastAsia="Calibri" w:cs="Arial"/>
          <w:lang w:eastAsia="en-US"/>
        </w:rPr>
      </w:pPr>
    </w:p>
    <w:p w14:paraId="0626BB5F" w14:textId="77777777" w:rsidR="000A13C3" w:rsidRPr="00264768" w:rsidRDefault="00147B55" w:rsidP="000A13C3">
      <w:pPr>
        <w:jc w:val="both"/>
        <w:rPr>
          <w:rFonts w:eastAsia="Calibri" w:cs="Arial"/>
          <w:lang w:eastAsia="en-US"/>
        </w:rPr>
      </w:pPr>
      <w:r w:rsidRPr="00264768">
        <w:rPr>
          <w:rFonts w:eastAsia="Calibri" w:cs="Arial"/>
          <w:lang w:eastAsia="en-US"/>
        </w:rPr>
        <w:t>There is still concern that there could be increased strain on the High Needs Block budget from 2023/24 or 2</w:t>
      </w:r>
      <w:r w:rsidR="00E55FF8">
        <w:rPr>
          <w:rFonts w:eastAsia="Calibri" w:cs="Arial"/>
          <w:lang w:eastAsia="en-US"/>
        </w:rPr>
        <w:t>02</w:t>
      </w:r>
      <w:r w:rsidRPr="00264768">
        <w:rPr>
          <w:rFonts w:eastAsia="Calibri" w:cs="Arial"/>
          <w:lang w:eastAsia="en-US"/>
        </w:rPr>
        <w:t>4/25 onwards</w:t>
      </w:r>
      <w:r w:rsidR="006E6570" w:rsidRPr="00264768">
        <w:rPr>
          <w:rFonts w:eastAsia="Calibri" w:cs="Arial"/>
          <w:lang w:eastAsia="en-US"/>
        </w:rPr>
        <w:t xml:space="preserve">, dependent on </w:t>
      </w:r>
      <w:r w:rsidR="00F1779A">
        <w:rPr>
          <w:rFonts w:eastAsia="Calibri" w:cs="Arial"/>
          <w:lang w:eastAsia="en-US"/>
        </w:rPr>
        <w:t xml:space="preserve">the </w:t>
      </w:r>
      <w:r w:rsidR="006E6570" w:rsidRPr="00264768">
        <w:rPr>
          <w:rFonts w:eastAsia="Calibri" w:cs="Arial"/>
          <w:lang w:eastAsia="en-US"/>
        </w:rPr>
        <w:t>rise in demand.</w:t>
      </w:r>
      <w:r w:rsidRPr="00264768">
        <w:rPr>
          <w:rFonts w:eastAsia="Calibri" w:cs="Arial"/>
          <w:lang w:eastAsia="en-US"/>
        </w:rPr>
        <w:t xml:space="preserve"> </w:t>
      </w:r>
      <w:r w:rsidR="006E6570" w:rsidRPr="00264768">
        <w:rPr>
          <w:rFonts w:eastAsia="Calibri" w:cs="Arial"/>
          <w:lang w:eastAsia="en-US"/>
        </w:rPr>
        <w:t xml:space="preserve">The </w:t>
      </w:r>
      <w:r w:rsidRPr="00264768">
        <w:rPr>
          <w:rFonts w:eastAsia="Calibri" w:cs="Arial"/>
          <w:lang w:eastAsia="en-US"/>
        </w:rPr>
        <w:t xml:space="preserve">initial announcements from the Government indicate circa 3% rises in funding per </w:t>
      </w:r>
      <w:r w:rsidR="00E55FF8" w:rsidRPr="00264768">
        <w:rPr>
          <w:rFonts w:eastAsia="Calibri" w:cs="Arial"/>
          <w:lang w:eastAsia="en-US"/>
        </w:rPr>
        <w:t>annum but</w:t>
      </w:r>
      <w:r w:rsidRPr="00264768">
        <w:rPr>
          <w:rFonts w:eastAsia="Calibri" w:cs="Arial"/>
          <w:lang w:eastAsia="en-US"/>
        </w:rPr>
        <w:t xml:space="preserve"> forecast cost and </w:t>
      </w:r>
      <w:r w:rsidR="00E55FF8">
        <w:rPr>
          <w:rFonts w:eastAsia="Calibri" w:cs="Arial"/>
          <w:lang w:eastAsia="en-US"/>
        </w:rPr>
        <w:t>demand-led</w:t>
      </w:r>
      <w:r w:rsidRPr="00264768">
        <w:rPr>
          <w:rFonts w:eastAsia="Calibri" w:cs="Arial"/>
          <w:lang w:eastAsia="en-US"/>
        </w:rPr>
        <w:t xml:space="preserve"> pressures in the High Needs Block are estimated to remain at a level well above this</w:t>
      </w:r>
      <w:r w:rsidR="006E6570" w:rsidRPr="00264768">
        <w:rPr>
          <w:rFonts w:eastAsia="Calibri" w:cs="Arial"/>
          <w:lang w:eastAsia="en-US"/>
        </w:rPr>
        <w:t>, approx</w:t>
      </w:r>
      <w:r>
        <w:rPr>
          <w:rFonts w:eastAsia="Calibri" w:cs="Arial"/>
          <w:lang w:eastAsia="en-US"/>
        </w:rPr>
        <w:t>imately</w:t>
      </w:r>
      <w:r w:rsidR="006E6570" w:rsidRPr="00264768">
        <w:rPr>
          <w:rFonts w:eastAsia="Calibri" w:cs="Arial"/>
          <w:lang w:eastAsia="en-US"/>
        </w:rPr>
        <w:t xml:space="preserve"> 8%</w:t>
      </w:r>
      <w:r w:rsidRPr="00264768">
        <w:rPr>
          <w:rFonts w:eastAsia="Calibri" w:cs="Arial"/>
          <w:lang w:eastAsia="en-US"/>
        </w:rPr>
        <w:t>. This could create significant pressure on the High Needs Block Budget and the overall Dedicated Schools Grant in the longer term.</w:t>
      </w:r>
    </w:p>
    <w:p w14:paraId="16EEE91B" w14:textId="77777777" w:rsidR="006E6570" w:rsidRPr="00264768" w:rsidRDefault="006E6570" w:rsidP="000A13C3">
      <w:pPr>
        <w:jc w:val="both"/>
        <w:rPr>
          <w:rFonts w:eastAsia="Calibri" w:cs="Arial"/>
          <w:lang w:eastAsia="en-US"/>
        </w:rPr>
      </w:pPr>
    </w:p>
    <w:p w14:paraId="6671701F" w14:textId="77777777" w:rsidR="006E6570" w:rsidRPr="00264768" w:rsidRDefault="00147B55" w:rsidP="000A13C3">
      <w:pPr>
        <w:jc w:val="both"/>
        <w:rPr>
          <w:rFonts w:eastAsia="Calibri" w:cs="Arial"/>
          <w:lang w:eastAsia="en-US"/>
        </w:rPr>
      </w:pPr>
      <w:r w:rsidRPr="00264768">
        <w:rPr>
          <w:rFonts w:eastAsia="Calibri" w:cs="Arial"/>
          <w:lang w:eastAsia="en-US"/>
        </w:rPr>
        <w:t>SEND Sufficiency work is currently being carried out to address this issue</w:t>
      </w:r>
      <w:r w:rsidR="00E55FF8">
        <w:rPr>
          <w:rFonts w:eastAsia="Calibri" w:cs="Arial"/>
          <w:lang w:eastAsia="en-US"/>
        </w:rPr>
        <w:t>.</w:t>
      </w:r>
    </w:p>
    <w:p w14:paraId="28E741C2" w14:textId="77777777" w:rsidR="000A13C3" w:rsidRPr="00264768" w:rsidRDefault="000A13C3" w:rsidP="000A13C3">
      <w:pPr>
        <w:jc w:val="both"/>
        <w:rPr>
          <w:rFonts w:cs="Arial"/>
        </w:rPr>
      </w:pPr>
    </w:p>
    <w:p w14:paraId="4AD289EA" w14:textId="77777777" w:rsidR="0033169F" w:rsidRPr="00264768" w:rsidRDefault="00147B55" w:rsidP="000A13C3">
      <w:pPr>
        <w:jc w:val="both"/>
        <w:rPr>
          <w:rFonts w:cs="Arial"/>
          <w:b/>
        </w:rPr>
      </w:pPr>
      <w:r w:rsidRPr="00264768">
        <w:rPr>
          <w:rFonts w:cs="Arial"/>
          <w:b/>
        </w:rPr>
        <w:t xml:space="preserve">Early Years Block </w:t>
      </w:r>
      <w:r w:rsidR="00E55FF8">
        <w:rPr>
          <w:rFonts w:cs="Arial"/>
          <w:b/>
        </w:rPr>
        <w:t>–</w:t>
      </w:r>
      <w:r w:rsidRPr="00264768">
        <w:rPr>
          <w:rFonts w:cs="Arial"/>
          <w:b/>
        </w:rPr>
        <w:t xml:space="preserve"> </w:t>
      </w:r>
      <w:r w:rsidR="00E55FF8">
        <w:rPr>
          <w:rFonts w:cs="Arial"/>
          <w:b/>
        </w:rPr>
        <w:t>(</w:t>
      </w:r>
      <w:r w:rsidRPr="00264768">
        <w:rPr>
          <w:rFonts w:cs="Arial"/>
          <w:b/>
        </w:rPr>
        <w:t>£87.644m</w:t>
      </w:r>
      <w:r w:rsidR="00E55FF8">
        <w:rPr>
          <w:rFonts w:cs="Arial"/>
          <w:b/>
        </w:rPr>
        <w:t>)</w:t>
      </w:r>
    </w:p>
    <w:p w14:paraId="0A01B911" w14:textId="77777777" w:rsidR="000A13C3" w:rsidRPr="00264768" w:rsidRDefault="00147B55" w:rsidP="000A13C3">
      <w:pPr>
        <w:jc w:val="both"/>
        <w:rPr>
          <w:rFonts w:cs="Arial"/>
          <w:highlight w:val="yellow"/>
        </w:rPr>
      </w:pPr>
      <w:r w:rsidRPr="00264768">
        <w:rPr>
          <w:rFonts w:eastAsia="Calibri" w:cs="Arial"/>
          <w:lang w:eastAsia="en-US"/>
        </w:rPr>
        <w:t>Government announcements of additional Early Years funding</w:t>
      </w:r>
      <w:r w:rsidRPr="00264768">
        <w:rPr>
          <w:rFonts w:cs="Arial"/>
        </w:rPr>
        <w:t xml:space="preserve"> </w:t>
      </w:r>
      <w:r w:rsidR="00E55FF8">
        <w:rPr>
          <w:rFonts w:cs="Arial"/>
        </w:rPr>
        <w:t>translate</w:t>
      </w:r>
      <w:r w:rsidRPr="00264768">
        <w:rPr>
          <w:rFonts w:cs="Arial"/>
        </w:rPr>
        <w:t xml:space="preserve"> into increased </w:t>
      </w:r>
      <w:r w:rsidR="00B70B57" w:rsidRPr="00264768">
        <w:rPr>
          <w:rFonts w:cs="Arial"/>
        </w:rPr>
        <w:t xml:space="preserve">hourly rates for each category of Early Years </w:t>
      </w:r>
      <w:r w:rsidR="00B06761" w:rsidRPr="00264768">
        <w:rPr>
          <w:rFonts w:cs="Arial"/>
        </w:rPr>
        <w:t>Entitlement</w:t>
      </w:r>
      <w:r w:rsidR="00B70B57" w:rsidRPr="00264768">
        <w:rPr>
          <w:rFonts w:cs="Arial"/>
        </w:rPr>
        <w:t xml:space="preserve"> </w:t>
      </w:r>
      <w:r w:rsidR="00B06761" w:rsidRPr="00264768">
        <w:rPr>
          <w:rFonts w:cs="Arial"/>
        </w:rPr>
        <w:t>Funding,</w:t>
      </w:r>
      <w:r w:rsidR="009E5B09" w:rsidRPr="00264768">
        <w:rPr>
          <w:rFonts w:cs="Arial"/>
        </w:rPr>
        <w:t xml:space="preserve"> and this will enable Lancashire to increase the hourly rate we pay over to Early Years Providers</w:t>
      </w:r>
      <w:r w:rsidR="00E55FF8">
        <w:rPr>
          <w:rFonts w:cs="Arial"/>
        </w:rPr>
        <w:t>.</w:t>
      </w:r>
    </w:p>
    <w:p w14:paraId="7F257998" w14:textId="77777777" w:rsidR="000A13C3" w:rsidRPr="00264768" w:rsidRDefault="000A13C3" w:rsidP="000A13C3">
      <w:pPr>
        <w:jc w:val="both"/>
        <w:rPr>
          <w:rFonts w:eastAsia="Calibri" w:cs="Arial"/>
          <w:lang w:eastAsia="en-US"/>
        </w:rPr>
      </w:pPr>
    </w:p>
    <w:p w14:paraId="5BB6B3CE" w14:textId="77777777" w:rsidR="009E5B09" w:rsidRPr="00E55FF8" w:rsidRDefault="00147B55" w:rsidP="000A13C3">
      <w:pPr>
        <w:jc w:val="both"/>
        <w:rPr>
          <w:rFonts w:cs="Arial"/>
          <w:i/>
          <w:iCs/>
        </w:rPr>
      </w:pPr>
      <w:r w:rsidRPr="00264768">
        <w:rPr>
          <w:rFonts w:cs="Arial"/>
          <w:i/>
          <w:iCs/>
        </w:rPr>
        <w:t>3 and 4-year-old entitlements</w:t>
      </w:r>
    </w:p>
    <w:p w14:paraId="0B1CBBC8" w14:textId="77777777" w:rsidR="000A13C3" w:rsidRPr="00264768" w:rsidRDefault="00147B55" w:rsidP="000A13C3">
      <w:pPr>
        <w:jc w:val="both"/>
        <w:rPr>
          <w:rFonts w:eastAsia="Calibri" w:cs="Arial"/>
          <w:lang w:eastAsia="en-US"/>
        </w:rPr>
      </w:pPr>
      <w:r w:rsidRPr="00264768">
        <w:rPr>
          <w:rFonts w:eastAsia="Calibri" w:cs="Arial"/>
          <w:lang w:eastAsia="en-US"/>
        </w:rPr>
        <w:t xml:space="preserve">In 2022/23, the </w:t>
      </w:r>
      <w:r w:rsidR="00F1779A">
        <w:rPr>
          <w:rFonts w:eastAsia="Calibri" w:cs="Arial"/>
          <w:lang w:eastAsia="en-US"/>
        </w:rPr>
        <w:t>S</w:t>
      </w:r>
      <w:r w:rsidR="00B06761" w:rsidRPr="00264768">
        <w:rPr>
          <w:rFonts w:eastAsia="Calibri" w:cs="Arial"/>
          <w:lang w:eastAsia="en-US"/>
        </w:rPr>
        <w:t>chools</w:t>
      </w:r>
      <w:r w:rsidRPr="00264768">
        <w:rPr>
          <w:rFonts w:eastAsia="Calibri" w:cs="Arial"/>
          <w:lang w:eastAsia="en-US"/>
        </w:rPr>
        <w:t xml:space="preserve"> Forum agreed that the Early Years Block allocation </w:t>
      </w:r>
      <w:r w:rsidR="00F948CC" w:rsidRPr="00264768">
        <w:rPr>
          <w:rFonts w:eastAsia="Calibri" w:cs="Arial"/>
          <w:lang w:eastAsia="en-US"/>
        </w:rPr>
        <w:t xml:space="preserve">will </w:t>
      </w:r>
      <w:r w:rsidRPr="00264768">
        <w:rPr>
          <w:rFonts w:eastAsia="Calibri" w:cs="Arial"/>
          <w:lang w:eastAsia="en-US"/>
        </w:rPr>
        <w:t>be supplemented by a transfer of £1</w:t>
      </w:r>
      <w:r w:rsidR="00F1779A">
        <w:rPr>
          <w:rFonts w:eastAsia="Calibri" w:cs="Arial"/>
          <w:lang w:eastAsia="en-US"/>
        </w:rPr>
        <w:t>m</w:t>
      </w:r>
      <w:r w:rsidRPr="00264768">
        <w:rPr>
          <w:rFonts w:eastAsia="Calibri" w:cs="Arial"/>
          <w:lang w:eastAsia="en-US"/>
        </w:rPr>
        <w:t xml:space="preserve"> per year from the </w:t>
      </w:r>
      <w:r w:rsidR="00F948CC" w:rsidRPr="00264768">
        <w:rPr>
          <w:rFonts w:eastAsia="Calibri" w:cs="Arial"/>
          <w:lang w:eastAsia="en-US"/>
        </w:rPr>
        <w:t>Dedicated Schools Grant Reserves</w:t>
      </w:r>
      <w:r w:rsidRPr="00264768">
        <w:rPr>
          <w:rFonts w:eastAsia="Calibri" w:cs="Arial"/>
          <w:lang w:eastAsia="en-US"/>
        </w:rPr>
        <w:t xml:space="preserve"> to assist with the cost pressures in the early years sector. This transfer allowed the </w:t>
      </w:r>
      <w:r>
        <w:rPr>
          <w:rFonts w:eastAsia="Calibri" w:cs="Arial"/>
          <w:lang w:eastAsia="en-US"/>
        </w:rPr>
        <w:t>20</w:t>
      </w:r>
      <w:r w:rsidR="00950716" w:rsidRPr="00264768">
        <w:rPr>
          <w:rFonts w:eastAsia="Calibri" w:cs="Arial"/>
          <w:lang w:eastAsia="en-US"/>
        </w:rPr>
        <w:t xml:space="preserve">22/23 </w:t>
      </w:r>
      <w:r w:rsidRPr="00264768">
        <w:rPr>
          <w:rFonts w:eastAsia="Calibri" w:cs="Arial"/>
          <w:lang w:eastAsia="en-US"/>
        </w:rPr>
        <w:t xml:space="preserve">hourly rate for the 3 and 4-year-old entitlements to be increased by £0.04 per hour.  </w:t>
      </w:r>
    </w:p>
    <w:p w14:paraId="685CA83E" w14:textId="34FB9DBC" w:rsidR="000A13C3" w:rsidRDefault="000A13C3" w:rsidP="000A13C3">
      <w:pPr>
        <w:jc w:val="both"/>
        <w:rPr>
          <w:rFonts w:eastAsia="Calibri" w:cs="Arial"/>
          <w:lang w:eastAsia="en-US"/>
        </w:rPr>
      </w:pPr>
    </w:p>
    <w:p w14:paraId="33DEFE81" w14:textId="12B00862" w:rsidR="004E6338" w:rsidRDefault="004E6338" w:rsidP="000A13C3">
      <w:pPr>
        <w:jc w:val="both"/>
        <w:rPr>
          <w:rFonts w:eastAsia="Calibri" w:cs="Arial"/>
          <w:lang w:eastAsia="en-US"/>
        </w:rPr>
      </w:pPr>
      <w:r w:rsidRPr="004E6338">
        <w:rPr>
          <w:rFonts w:eastAsia="Calibri" w:cs="Arial"/>
          <w:lang w:eastAsia="en-US"/>
        </w:rPr>
        <w:t>Initial modelling on the early years block suggests the full £0.23 pence hourly increase can be funded from within Early Years Block Budget. School Forum understands that Early Years are facing considerable pressures within the sector. Therefore, for 2023/24 it is being proposed that £1 million to be transferred from DSG Reserves again to allow an additional £0.04 pence for the 3 and 4-year-old entitlements over and above the DfE confirmed increase. This would provide of a new rate of £4.75 per hour if School Forum agrees on 12th January 2023. This would give an increase of £0.27 pence per hour.</w:t>
      </w:r>
    </w:p>
    <w:p w14:paraId="063E61DC" w14:textId="68BD0733" w:rsidR="004E6338" w:rsidRDefault="004E6338" w:rsidP="000A13C3">
      <w:pPr>
        <w:jc w:val="both"/>
        <w:rPr>
          <w:rFonts w:eastAsia="Calibri" w:cs="Arial"/>
          <w:lang w:eastAsia="en-US"/>
        </w:rPr>
      </w:pPr>
    </w:p>
    <w:p w14:paraId="36CA0C11" w14:textId="003DA82B" w:rsidR="004E6338" w:rsidRDefault="004E6338" w:rsidP="000A13C3">
      <w:pPr>
        <w:jc w:val="both"/>
        <w:rPr>
          <w:rFonts w:eastAsia="Calibri" w:cs="Arial"/>
          <w:lang w:eastAsia="en-US"/>
        </w:rPr>
      </w:pPr>
    </w:p>
    <w:p w14:paraId="586931BE" w14:textId="56A621BC" w:rsidR="004E6338" w:rsidRDefault="004E6338" w:rsidP="000A13C3">
      <w:pPr>
        <w:jc w:val="both"/>
        <w:rPr>
          <w:rFonts w:eastAsia="Calibri" w:cs="Arial"/>
          <w:lang w:eastAsia="en-US"/>
        </w:rPr>
      </w:pPr>
    </w:p>
    <w:p w14:paraId="76BAC2FD" w14:textId="77777777" w:rsidR="004E6338" w:rsidRPr="00264768" w:rsidRDefault="004E6338" w:rsidP="000A13C3">
      <w:pPr>
        <w:jc w:val="both"/>
        <w:rPr>
          <w:rFonts w:eastAsia="Calibri" w:cs="Arial"/>
          <w:lang w:eastAsia="en-US"/>
        </w:rPr>
      </w:pPr>
    </w:p>
    <w:p w14:paraId="6F5FA6BF" w14:textId="77777777" w:rsidR="000A13C3" w:rsidRPr="00264768" w:rsidRDefault="00147B55" w:rsidP="00CB3066">
      <w:pPr>
        <w:jc w:val="both"/>
        <w:rPr>
          <w:rFonts w:cs="Arial"/>
          <w:color w:val="0B0C0C"/>
        </w:rPr>
      </w:pPr>
      <w:r w:rsidRPr="00264768">
        <w:rPr>
          <w:rFonts w:cs="Arial"/>
          <w:color w:val="0B0C0C"/>
        </w:rPr>
        <w:lastRenderedPageBreak/>
        <w:t>The 2023/24 funding rate may therefore be calculated as follows:</w:t>
      </w:r>
    </w:p>
    <w:p w14:paraId="438CDD1B" w14:textId="77777777" w:rsidR="00CB3066" w:rsidRPr="00264768" w:rsidRDefault="00CB3066" w:rsidP="00CB3066">
      <w:pPr>
        <w:jc w:val="both"/>
        <w:rPr>
          <w:rFonts w:cs="Arial"/>
          <w:color w:val="0B0C0C"/>
        </w:rPr>
      </w:pPr>
    </w:p>
    <w:tbl>
      <w:tblPr>
        <w:tblStyle w:val="TableGrid"/>
        <w:tblW w:w="4888" w:type="pct"/>
        <w:tblLook w:val="04A0" w:firstRow="1" w:lastRow="0" w:firstColumn="1" w:lastColumn="0" w:noHBand="0" w:noVBand="1"/>
      </w:tblPr>
      <w:tblGrid>
        <w:gridCol w:w="6793"/>
        <w:gridCol w:w="2264"/>
      </w:tblGrid>
      <w:tr w:rsidR="00CE2685" w14:paraId="41B254D5" w14:textId="77777777" w:rsidTr="00805873">
        <w:trPr>
          <w:trHeight w:val="485"/>
        </w:trPr>
        <w:tc>
          <w:tcPr>
            <w:tcW w:w="3750" w:type="pct"/>
            <w:hideMark/>
          </w:tcPr>
          <w:p w14:paraId="0E0B280F" w14:textId="77777777" w:rsidR="00CB3066" w:rsidRPr="00264768" w:rsidRDefault="00147B55" w:rsidP="00805873">
            <w:pPr>
              <w:pStyle w:val="Heading2"/>
              <w:spacing w:before="0" w:line="252" w:lineRule="auto"/>
              <w:jc w:val="both"/>
              <w:outlineLvl w:val="1"/>
              <w:rPr>
                <w:rFonts w:ascii="Arial" w:hAnsi="Arial" w:cs="Arial"/>
                <w:b w:val="0"/>
                <w:bCs w:val="0"/>
                <w:color w:val="0B0C0C"/>
                <w:sz w:val="24"/>
                <w:szCs w:val="24"/>
                <w:lang w:eastAsia="en-US"/>
              </w:rPr>
            </w:pPr>
            <w:bookmarkStart w:id="3" w:name="_Hlk120199254"/>
            <w:r w:rsidRPr="00264768">
              <w:rPr>
                <w:rFonts w:ascii="Arial" w:hAnsi="Arial" w:cs="Arial"/>
                <w:b w:val="0"/>
                <w:bCs w:val="0"/>
                <w:color w:val="0B0C0C"/>
                <w:sz w:val="24"/>
                <w:szCs w:val="24"/>
                <w:lang w:eastAsia="en-US"/>
              </w:rPr>
              <w:t>2022/23 base rate, which included £0.04 contribution from Lancashire Schools Block</w:t>
            </w:r>
          </w:p>
        </w:tc>
        <w:tc>
          <w:tcPr>
            <w:tcW w:w="1250" w:type="pct"/>
            <w:hideMark/>
          </w:tcPr>
          <w:p w14:paraId="5D0C735B" w14:textId="77777777" w:rsidR="00CB3066" w:rsidRPr="00264768" w:rsidRDefault="00147B55" w:rsidP="00805873">
            <w:pPr>
              <w:pStyle w:val="Heading2"/>
              <w:spacing w:before="0" w:line="252" w:lineRule="auto"/>
              <w:jc w:val="center"/>
              <w:outlineLvl w:val="1"/>
              <w:rPr>
                <w:rFonts w:ascii="Arial" w:hAnsi="Arial" w:cs="Arial"/>
                <w:b w:val="0"/>
                <w:bCs w:val="0"/>
                <w:color w:val="0B0C0C"/>
                <w:sz w:val="24"/>
                <w:szCs w:val="24"/>
                <w:lang w:eastAsia="en-US"/>
              </w:rPr>
            </w:pPr>
            <w:r w:rsidRPr="00264768">
              <w:rPr>
                <w:rFonts w:ascii="Arial" w:hAnsi="Arial" w:cs="Arial"/>
                <w:b w:val="0"/>
                <w:bCs w:val="0"/>
                <w:color w:val="0B0C0C"/>
                <w:sz w:val="24"/>
                <w:szCs w:val="24"/>
                <w:lang w:eastAsia="en-US"/>
              </w:rPr>
              <w:t>£4.48 per hour</w:t>
            </w:r>
          </w:p>
        </w:tc>
      </w:tr>
      <w:tr w:rsidR="00CE2685" w14:paraId="55F048BC" w14:textId="77777777" w:rsidTr="00805873">
        <w:trPr>
          <w:trHeight w:val="528"/>
        </w:trPr>
        <w:tc>
          <w:tcPr>
            <w:tcW w:w="3750" w:type="pct"/>
            <w:hideMark/>
          </w:tcPr>
          <w:p w14:paraId="716D42FF" w14:textId="77777777" w:rsidR="00CB3066" w:rsidRPr="00264768" w:rsidRDefault="00147B55" w:rsidP="00805873">
            <w:pPr>
              <w:pStyle w:val="Heading2"/>
              <w:spacing w:before="0" w:line="252" w:lineRule="auto"/>
              <w:jc w:val="both"/>
              <w:outlineLvl w:val="1"/>
              <w:rPr>
                <w:rFonts w:ascii="Arial" w:hAnsi="Arial" w:cs="Arial"/>
                <w:b w:val="0"/>
                <w:bCs w:val="0"/>
                <w:sz w:val="24"/>
                <w:szCs w:val="24"/>
                <w:lang w:eastAsia="en-US"/>
              </w:rPr>
            </w:pPr>
            <w:r w:rsidRPr="00264768">
              <w:rPr>
                <w:rFonts w:ascii="Arial" w:hAnsi="Arial" w:cs="Arial"/>
                <w:b w:val="0"/>
                <w:bCs w:val="0"/>
                <w:sz w:val="24"/>
                <w:szCs w:val="24"/>
                <w:lang w:eastAsia="en-US"/>
              </w:rPr>
              <w:t xml:space="preserve">2023/24 base rate </w:t>
            </w:r>
            <w:r w:rsidR="009934EE" w:rsidRPr="00264768">
              <w:rPr>
                <w:rFonts w:ascii="Arial" w:hAnsi="Arial" w:cs="Arial"/>
                <w:b w:val="0"/>
                <w:bCs w:val="0"/>
                <w:sz w:val="24"/>
                <w:szCs w:val="24"/>
                <w:lang w:eastAsia="en-US"/>
              </w:rPr>
              <w:t xml:space="preserve">as per </w:t>
            </w:r>
            <w:r w:rsidR="00264768">
              <w:rPr>
                <w:rFonts w:ascii="Arial" w:hAnsi="Arial" w:cs="Arial"/>
                <w:b w:val="0"/>
                <w:bCs w:val="0"/>
                <w:sz w:val="24"/>
                <w:szCs w:val="24"/>
                <w:lang w:eastAsia="en-US"/>
              </w:rPr>
              <w:t>20</w:t>
            </w:r>
            <w:r w:rsidR="009934EE" w:rsidRPr="00264768">
              <w:rPr>
                <w:rFonts w:ascii="Arial" w:hAnsi="Arial" w:cs="Arial"/>
                <w:b w:val="0"/>
                <w:bCs w:val="0"/>
                <w:sz w:val="24"/>
                <w:szCs w:val="24"/>
                <w:lang w:eastAsia="en-US"/>
              </w:rPr>
              <w:t>23/24 Indicative Early Years Allocation</w:t>
            </w:r>
          </w:p>
          <w:p w14:paraId="07B025C1" w14:textId="77777777" w:rsidR="00CB3066" w:rsidRPr="00264768" w:rsidRDefault="00CB3066" w:rsidP="00805873">
            <w:pPr>
              <w:pStyle w:val="Heading2"/>
              <w:spacing w:before="0" w:line="252" w:lineRule="auto"/>
              <w:jc w:val="both"/>
              <w:outlineLvl w:val="1"/>
              <w:rPr>
                <w:rFonts w:ascii="Arial" w:hAnsi="Arial" w:cs="Arial"/>
                <w:b w:val="0"/>
                <w:bCs w:val="0"/>
                <w:sz w:val="24"/>
                <w:szCs w:val="24"/>
                <w:lang w:eastAsia="en-US"/>
              </w:rPr>
            </w:pPr>
          </w:p>
        </w:tc>
        <w:tc>
          <w:tcPr>
            <w:tcW w:w="1250" w:type="pct"/>
            <w:hideMark/>
          </w:tcPr>
          <w:p w14:paraId="0BA50CFF" w14:textId="77777777" w:rsidR="00CB3066" w:rsidRPr="00264768" w:rsidRDefault="00147B55" w:rsidP="00805873">
            <w:pPr>
              <w:pStyle w:val="Heading2"/>
              <w:spacing w:before="0" w:line="252" w:lineRule="auto"/>
              <w:jc w:val="center"/>
              <w:outlineLvl w:val="1"/>
              <w:rPr>
                <w:rFonts w:ascii="Arial" w:hAnsi="Arial" w:cs="Arial"/>
                <w:b w:val="0"/>
                <w:bCs w:val="0"/>
                <w:sz w:val="24"/>
                <w:szCs w:val="24"/>
                <w:lang w:eastAsia="en-US"/>
              </w:rPr>
            </w:pPr>
            <w:r w:rsidRPr="00264768">
              <w:rPr>
                <w:rFonts w:ascii="Arial" w:hAnsi="Arial" w:cs="Arial"/>
                <w:b w:val="0"/>
                <w:bCs w:val="0"/>
                <w:sz w:val="24"/>
                <w:szCs w:val="24"/>
                <w:lang w:eastAsia="en-US"/>
              </w:rPr>
              <w:t>£4.</w:t>
            </w:r>
            <w:r w:rsidR="00E075F7" w:rsidRPr="00264768">
              <w:rPr>
                <w:rFonts w:ascii="Arial" w:hAnsi="Arial" w:cs="Arial"/>
                <w:b w:val="0"/>
                <w:bCs w:val="0"/>
                <w:sz w:val="24"/>
                <w:szCs w:val="24"/>
                <w:lang w:eastAsia="en-US"/>
              </w:rPr>
              <w:t>87</w:t>
            </w:r>
            <w:r w:rsidRPr="00264768">
              <w:rPr>
                <w:rFonts w:ascii="Arial" w:hAnsi="Arial" w:cs="Arial"/>
                <w:b w:val="0"/>
                <w:bCs w:val="0"/>
                <w:sz w:val="24"/>
                <w:szCs w:val="24"/>
                <w:lang w:eastAsia="en-US"/>
              </w:rPr>
              <w:t xml:space="preserve"> per hour</w:t>
            </w:r>
          </w:p>
        </w:tc>
      </w:tr>
      <w:tr w:rsidR="00CE2685" w14:paraId="67D0A949" w14:textId="77777777" w:rsidTr="00805873">
        <w:trPr>
          <w:trHeight w:val="111"/>
        </w:trPr>
        <w:tc>
          <w:tcPr>
            <w:tcW w:w="3750" w:type="pct"/>
          </w:tcPr>
          <w:p w14:paraId="27827CD2" w14:textId="3B657245" w:rsidR="000D0FA1" w:rsidRPr="00264768" w:rsidRDefault="00147B55" w:rsidP="000D0FA1">
            <w:pPr>
              <w:pStyle w:val="Heading2"/>
              <w:spacing w:before="0" w:line="252" w:lineRule="auto"/>
              <w:outlineLvl w:val="1"/>
              <w:rPr>
                <w:rFonts w:ascii="Arial" w:hAnsi="Arial" w:cs="Arial"/>
                <w:b w:val="0"/>
                <w:bCs w:val="0"/>
                <w:sz w:val="24"/>
                <w:szCs w:val="24"/>
                <w:lang w:eastAsia="en-US"/>
              </w:rPr>
            </w:pPr>
            <w:r w:rsidRPr="00264768">
              <w:rPr>
                <w:rFonts w:ascii="Arial" w:hAnsi="Arial" w:cs="Arial"/>
                <w:b w:val="0"/>
                <w:bCs w:val="0"/>
                <w:sz w:val="24"/>
                <w:szCs w:val="24"/>
                <w:lang w:eastAsia="en-US"/>
              </w:rPr>
              <w:t xml:space="preserve">2023/24 Base rate paid by LCC to providers </w:t>
            </w:r>
            <w:r w:rsidR="004E6338" w:rsidRPr="004E6338">
              <w:rPr>
                <w:rFonts w:ascii="Arial" w:hAnsi="Arial" w:cs="Arial"/>
                <w:b w:val="0"/>
                <w:bCs w:val="0"/>
                <w:sz w:val="24"/>
                <w:szCs w:val="24"/>
                <w:lang w:eastAsia="en-US"/>
              </w:rPr>
              <w:t>(including £0.04 pence funding from DSG Reserve)</w:t>
            </w:r>
            <w:r w:rsidR="000D0FA1">
              <w:rPr>
                <w:rFonts w:ascii="Arial" w:hAnsi="Arial" w:cs="Arial"/>
                <w:b w:val="0"/>
                <w:bCs w:val="0"/>
                <w:sz w:val="24"/>
                <w:szCs w:val="24"/>
                <w:lang w:eastAsia="en-US"/>
              </w:rPr>
              <w:br/>
            </w:r>
          </w:p>
        </w:tc>
        <w:tc>
          <w:tcPr>
            <w:tcW w:w="1250" w:type="pct"/>
          </w:tcPr>
          <w:p w14:paraId="53FB3943" w14:textId="0D614C69" w:rsidR="00CB3066" w:rsidRPr="00264768" w:rsidRDefault="004E6338" w:rsidP="00805873">
            <w:pPr>
              <w:pStyle w:val="Heading2"/>
              <w:spacing w:before="0" w:line="252" w:lineRule="auto"/>
              <w:jc w:val="center"/>
              <w:outlineLvl w:val="1"/>
              <w:rPr>
                <w:rFonts w:ascii="Arial" w:hAnsi="Arial" w:cs="Arial"/>
                <w:b w:val="0"/>
                <w:bCs w:val="0"/>
                <w:sz w:val="24"/>
                <w:szCs w:val="24"/>
                <w:lang w:eastAsia="en-US"/>
              </w:rPr>
            </w:pPr>
            <w:r w:rsidRPr="004E6338">
              <w:rPr>
                <w:rFonts w:ascii="Arial" w:hAnsi="Arial" w:cs="Arial"/>
                <w:b w:val="0"/>
                <w:bCs w:val="0"/>
                <w:sz w:val="24"/>
                <w:szCs w:val="24"/>
                <w:lang w:eastAsia="en-US"/>
              </w:rPr>
              <w:t>£4.75 per hour</w:t>
            </w:r>
          </w:p>
        </w:tc>
      </w:tr>
      <w:bookmarkEnd w:id="3"/>
    </w:tbl>
    <w:p w14:paraId="4AFB4F94" w14:textId="77777777" w:rsidR="00CB3066" w:rsidRPr="00264768" w:rsidRDefault="00CB3066" w:rsidP="00CB3066">
      <w:pPr>
        <w:jc w:val="both"/>
        <w:rPr>
          <w:rFonts w:cs="Arial"/>
          <w:color w:val="0B0C0C"/>
        </w:rPr>
      </w:pPr>
    </w:p>
    <w:p w14:paraId="2628B67C" w14:textId="7C6D5518" w:rsidR="00B877E5" w:rsidRPr="00264768" w:rsidRDefault="00147B55" w:rsidP="000A13C3">
      <w:pPr>
        <w:jc w:val="both"/>
        <w:rPr>
          <w:rFonts w:cs="Arial"/>
          <w:color w:val="0B0C0C"/>
        </w:rPr>
      </w:pPr>
      <w:r w:rsidRPr="00264768">
        <w:rPr>
          <w:rFonts w:cs="Arial"/>
          <w:color w:val="0B0C0C"/>
        </w:rPr>
        <w:t>Currently</w:t>
      </w:r>
      <w:r w:rsidR="00E55FF8">
        <w:rPr>
          <w:rFonts w:cs="Arial"/>
          <w:color w:val="0B0C0C"/>
        </w:rPr>
        <w:t>,</w:t>
      </w:r>
      <w:r w:rsidRPr="00264768">
        <w:rPr>
          <w:rFonts w:cs="Arial"/>
          <w:color w:val="0B0C0C"/>
        </w:rPr>
        <w:t xml:space="preserve"> Lancashire County Council adopt a Supplementary Payment process, this means we pay a lower rate to providers than we are </w:t>
      </w:r>
      <w:r w:rsidR="00AE2E13" w:rsidRPr="00264768">
        <w:rPr>
          <w:rFonts w:cs="Arial"/>
          <w:color w:val="0B0C0C"/>
        </w:rPr>
        <w:t>funded but</w:t>
      </w:r>
      <w:r w:rsidRPr="00264768">
        <w:rPr>
          <w:rFonts w:cs="Arial"/>
          <w:color w:val="0B0C0C"/>
        </w:rPr>
        <w:t xml:space="preserve"> pay Supplementary hours. The funding mechanism for </w:t>
      </w:r>
      <w:r w:rsidR="00DE18F3" w:rsidRPr="00264768">
        <w:rPr>
          <w:rFonts w:cs="Arial"/>
          <w:color w:val="0B0C0C"/>
        </w:rPr>
        <w:t xml:space="preserve">Government </w:t>
      </w:r>
      <w:r w:rsidRPr="00264768">
        <w:rPr>
          <w:rFonts w:cs="Arial"/>
          <w:color w:val="0B0C0C"/>
        </w:rPr>
        <w:t xml:space="preserve">Early Years Allocations </w:t>
      </w:r>
      <w:r w:rsidR="00E55FF8">
        <w:rPr>
          <w:rFonts w:cs="Arial"/>
          <w:color w:val="0B0C0C"/>
        </w:rPr>
        <w:t>is</w:t>
      </w:r>
      <w:r w:rsidRPr="00264768">
        <w:rPr>
          <w:rFonts w:cs="Arial"/>
          <w:color w:val="0B0C0C"/>
        </w:rPr>
        <w:t xml:space="preserve"> based on January census data, so all funding is based on this date and does not account for intake </w:t>
      </w:r>
      <w:r w:rsidR="00DE18F3" w:rsidRPr="00264768">
        <w:rPr>
          <w:rFonts w:cs="Arial"/>
          <w:color w:val="0B0C0C"/>
        </w:rPr>
        <w:t xml:space="preserve">or fluctuation </w:t>
      </w:r>
      <w:r w:rsidRPr="00264768">
        <w:rPr>
          <w:rFonts w:cs="Arial"/>
          <w:color w:val="0B0C0C"/>
        </w:rPr>
        <w:t>throughout the terms</w:t>
      </w:r>
      <w:r w:rsidR="000D0FA1">
        <w:rPr>
          <w:rFonts w:cs="Arial"/>
          <w:color w:val="0B0C0C"/>
        </w:rPr>
        <w:t>.</w:t>
      </w:r>
    </w:p>
    <w:p w14:paraId="02ED8519" w14:textId="77777777" w:rsidR="00B877E5" w:rsidRPr="00264768" w:rsidRDefault="00B877E5" w:rsidP="000A13C3">
      <w:pPr>
        <w:jc w:val="both"/>
        <w:rPr>
          <w:rFonts w:cs="Arial"/>
          <w:color w:val="0B0C0C"/>
        </w:rPr>
      </w:pPr>
    </w:p>
    <w:p w14:paraId="6D17BF96" w14:textId="77777777" w:rsidR="00B877E5" w:rsidRPr="00264768" w:rsidRDefault="00147B55" w:rsidP="000A13C3">
      <w:pPr>
        <w:jc w:val="both"/>
        <w:rPr>
          <w:rFonts w:cs="Arial"/>
          <w:color w:val="0B0C0C"/>
        </w:rPr>
      </w:pPr>
      <w:r w:rsidRPr="00264768">
        <w:rPr>
          <w:rFonts w:cs="Arial"/>
          <w:color w:val="0B0C0C"/>
        </w:rPr>
        <w:t xml:space="preserve">The methodology behind the January census point is that </w:t>
      </w:r>
      <w:r w:rsidR="00E55FF8">
        <w:rPr>
          <w:rFonts w:cs="Arial"/>
          <w:color w:val="0B0C0C"/>
        </w:rPr>
        <w:t xml:space="preserve">the </w:t>
      </w:r>
      <w:r w:rsidRPr="00264768">
        <w:rPr>
          <w:rFonts w:cs="Arial"/>
          <w:color w:val="0B0C0C"/>
        </w:rPr>
        <w:t>Autumn term is the highest and Summer Te</w:t>
      </w:r>
      <w:r w:rsidR="00EE63ED" w:rsidRPr="00264768">
        <w:rPr>
          <w:rFonts w:cs="Arial"/>
          <w:color w:val="0B0C0C"/>
        </w:rPr>
        <w:t>rm</w:t>
      </w:r>
      <w:r w:rsidRPr="00264768">
        <w:rPr>
          <w:rFonts w:cs="Arial"/>
          <w:color w:val="0B0C0C"/>
        </w:rPr>
        <w:t xml:space="preserve"> is usually the lowest for fte/hours of children therefore the Spring Term should be the </w:t>
      </w:r>
      <w:r w:rsidR="00B33FEF" w:rsidRPr="00264768">
        <w:rPr>
          <w:rFonts w:cs="Arial"/>
          <w:color w:val="0B0C0C"/>
        </w:rPr>
        <w:t>mid-point</w:t>
      </w:r>
      <w:r w:rsidRPr="00264768">
        <w:rPr>
          <w:rFonts w:cs="Arial"/>
          <w:color w:val="0B0C0C"/>
        </w:rPr>
        <w:t>/average</w:t>
      </w:r>
      <w:r w:rsidR="00E55FF8">
        <w:rPr>
          <w:rFonts w:cs="Arial"/>
          <w:color w:val="0B0C0C"/>
        </w:rPr>
        <w:t>.</w:t>
      </w:r>
    </w:p>
    <w:p w14:paraId="431DBD7A" w14:textId="77777777" w:rsidR="00B877E5" w:rsidRPr="00264768" w:rsidRDefault="00B877E5" w:rsidP="000A13C3">
      <w:pPr>
        <w:jc w:val="both"/>
        <w:rPr>
          <w:rFonts w:cs="Arial"/>
          <w:color w:val="0B0C0C"/>
        </w:rPr>
      </w:pPr>
    </w:p>
    <w:p w14:paraId="66FAD5F2" w14:textId="77777777" w:rsidR="00B877E5" w:rsidRPr="00264768" w:rsidRDefault="00147B55" w:rsidP="000A13C3">
      <w:pPr>
        <w:jc w:val="both"/>
        <w:rPr>
          <w:rFonts w:cs="Arial"/>
          <w:color w:val="0B0C0C"/>
        </w:rPr>
      </w:pPr>
      <w:r w:rsidRPr="00264768">
        <w:rPr>
          <w:rFonts w:cs="Arial"/>
          <w:color w:val="0B0C0C"/>
        </w:rPr>
        <w:t xml:space="preserve">Lancashire </w:t>
      </w:r>
      <w:r w:rsidR="00E55FF8">
        <w:rPr>
          <w:rFonts w:cs="Arial"/>
          <w:color w:val="0B0C0C"/>
        </w:rPr>
        <w:t>adopts</w:t>
      </w:r>
      <w:r w:rsidRPr="00264768">
        <w:rPr>
          <w:rFonts w:cs="Arial"/>
          <w:color w:val="0B0C0C"/>
        </w:rPr>
        <w:t xml:space="preserve"> a policy where we fund </w:t>
      </w:r>
      <w:r w:rsidR="00D233E9" w:rsidRPr="00264768">
        <w:rPr>
          <w:rFonts w:cs="Arial"/>
          <w:color w:val="0B0C0C"/>
        </w:rPr>
        <w:t>a</w:t>
      </w:r>
      <w:r w:rsidRPr="00264768">
        <w:rPr>
          <w:rFonts w:cs="Arial"/>
          <w:color w:val="0B0C0C"/>
        </w:rPr>
        <w:t>ll intake throughout each term, which we do</w:t>
      </w:r>
      <w:r w:rsidR="00E55FF8">
        <w:rPr>
          <w:rFonts w:cs="Arial"/>
          <w:color w:val="0B0C0C"/>
        </w:rPr>
        <w:t xml:space="preserve"> not </w:t>
      </w:r>
      <w:r w:rsidRPr="00264768">
        <w:rPr>
          <w:rFonts w:cs="Arial"/>
          <w:color w:val="0B0C0C"/>
        </w:rPr>
        <w:t xml:space="preserve">receive in our allocation. This </w:t>
      </w:r>
      <w:r w:rsidR="00E55FF8">
        <w:rPr>
          <w:rFonts w:cs="Arial"/>
          <w:color w:val="0B0C0C"/>
        </w:rPr>
        <w:t>means</w:t>
      </w:r>
      <w:r w:rsidRPr="00264768">
        <w:rPr>
          <w:rFonts w:cs="Arial"/>
          <w:color w:val="0B0C0C"/>
        </w:rPr>
        <w:t xml:space="preserve"> providers hourly rates are </w:t>
      </w:r>
      <w:r w:rsidR="00B33FEF" w:rsidRPr="00264768">
        <w:rPr>
          <w:rFonts w:cs="Arial"/>
          <w:color w:val="0B0C0C"/>
        </w:rPr>
        <w:t>lower,</w:t>
      </w:r>
      <w:r w:rsidRPr="00264768">
        <w:rPr>
          <w:rFonts w:cs="Arial"/>
          <w:color w:val="0B0C0C"/>
        </w:rPr>
        <w:t xml:space="preserve"> but they get funded for every child</w:t>
      </w:r>
      <w:r w:rsidR="0004788C" w:rsidRPr="00264768">
        <w:rPr>
          <w:rFonts w:cs="Arial"/>
          <w:color w:val="0B0C0C"/>
        </w:rPr>
        <w:t xml:space="preserve"> and every hour through each term, which is financially more beneficial for providers</w:t>
      </w:r>
      <w:r w:rsidR="00E55FF8">
        <w:rPr>
          <w:rFonts w:cs="Arial"/>
          <w:color w:val="0B0C0C"/>
        </w:rPr>
        <w:t>.</w:t>
      </w:r>
    </w:p>
    <w:p w14:paraId="3FEEA2F2" w14:textId="77777777" w:rsidR="00B877E5" w:rsidRPr="00264768" w:rsidRDefault="00B877E5" w:rsidP="000A13C3">
      <w:pPr>
        <w:jc w:val="both"/>
        <w:rPr>
          <w:rFonts w:cs="Arial"/>
          <w:color w:val="0B0C0C"/>
          <w:highlight w:val="yellow"/>
        </w:rPr>
      </w:pPr>
    </w:p>
    <w:p w14:paraId="40EDE552" w14:textId="77777777" w:rsidR="000A13C3" w:rsidRPr="00264768" w:rsidRDefault="00147B55" w:rsidP="000A13C3">
      <w:pPr>
        <w:jc w:val="both"/>
        <w:rPr>
          <w:rFonts w:cs="Arial"/>
          <w:color w:val="0B0C0C"/>
        </w:rPr>
      </w:pPr>
      <w:r w:rsidRPr="00264768">
        <w:rPr>
          <w:rFonts w:cs="Arial"/>
          <w:color w:val="0B0C0C"/>
        </w:rPr>
        <w:t>The Lancashire base rate for 3 and 4-year-old entitlements of £4.71 per hour in 2023/24, would be an increase of 23p per hour</w:t>
      </w:r>
      <w:r w:rsidR="00E55FF8">
        <w:rPr>
          <w:rFonts w:cs="Arial"/>
          <w:color w:val="0B0C0C"/>
        </w:rPr>
        <w:t>.</w:t>
      </w:r>
    </w:p>
    <w:p w14:paraId="0183589A" w14:textId="77777777" w:rsidR="000A13C3" w:rsidRPr="00264768" w:rsidRDefault="000A13C3" w:rsidP="000A13C3">
      <w:pPr>
        <w:rPr>
          <w:rFonts w:eastAsia="Calibri" w:cs="Arial"/>
        </w:rPr>
      </w:pPr>
    </w:p>
    <w:p w14:paraId="26EACF4F" w14:textId="77777777" w:rsidR="007538ED" w:rsidRPr="00264768" w:rsidRDefault="00147B55" w:rsidP="000A13C3">
      <w:pPr>
        <w:jc w:val="both"/>
        <w:rPr>
          <w:rFonts w:cs="Arial"/>
          <w:i/>
          <w:iCs/>
        </w:rPr>
      </w:pPr>
      <w:r w:rsidRPr="00264768">
        <w:rPr>
          <w:rFonts w:cs="Arial"/>
          <w:i/>
          <w:iCs/>
        </w:rPr>
        <w:t xml:space="preserve">2-year-old entitlement  </w:t>
      </w:r>
    </w:p>
    <w:p w14:paraId="191FC87E" w14:textId="77777777" w:rsidR="000A13C3" w:rsidRPr="00264768" w:rsidRDefault="00147B55" w:rsidP="000A13C3">
      <w:pPr>
        <w:keepNext/>
        <w:jc w:val="both"/>
        <w:outlineLvl w:val="1"/>
        <w:rPr>
          <w:rFonts w:cs="Arial"/>
          <w:color w:val="0B0C0C"/>
        </w:rPr>
      </w:pPr>
      <w:r w:rsidRPr="00264768">
        <w:rPr>
          <w:rFonts w:cs="Arial"/>
          <w:color w:val="0B0C0C"/>
        </w:rPr>
        <w:t xml:space="preserve">Lancashire is to receive an additional £0.06 per hour for the 2-year-old entitlement for 2023/24, which will be passed to providers in full. This would give a </w:t>
      </w:r>
      <w:r w:rsidR="00422940" w:rsidRPr="00264768">
        <w:rPr>
          <w:rFonts w:cs="Arial"/>
          <w:color w:val="0B0C0C"/>
        </w:rPr>
        <w:t>forecast Lancashire</w:t>
      </w:r>
      <w:r w:rsidRPr="00264768">
        <w:rPr>
          <w:rFonts w:cs="Arial"/>
          <w:color w:val="0B0C0C"/>
        </w:rPr>
        <w:t xml:space="preserve"> funding rate for </w:t>
      </w:r>
      <w:r w:rsidR="00422940" w:rsidRPr="00264768">
        <w:rPr>
          <w:rFonts w:cs="Arial"/>
          <w:color w:val="0B0C0C"/>
        </w:rPr>
        <w:t>2-year-olds</w:t>
      </w:r>
      <w:r w:rsidRPr="00264768">
        <w:rPr>
          <w:rFonts w:cs="Arial"/>
          <w:color w:val="0B0C0C"/>
        </w:rPr>
        <w:t xml:space="preserve"> of £5.63 per hour from April 2023.</w:t>
      </w:r>
    </w:p>
    <w:p w14:paraId="735B50FD" w14:textId="77777777" w:rsidR="000A13C3" w:rsidRPr="00264768" w:rsidRDefault="000A13C3" w:rsidP="000A13C3">
      <w:pPr>
        <w:rPr>
          <w:rFonts w:cs="Arial"/>
          <w:szCs w:val="20"/>
        </w:rPr>
      </w:pPr>
    </w:p>
    <w:p w14:paraId="113EFFD9" w14:textId="77777777" w:rsidR="00F661AC" w:rsidRPr="00264768" w:rsidRDefault="00147B55" w:rsidP="000A13C3">
      <w:pPr>
        <w:jc w:val="both"/>
        <w:rPr>
          <w:rFonts w:cs="Arial"/>
          <w:i/>
          <w:iCs/>
        </w:rPr>
      </w:pPr>
      <w:bookmarkStart w:id="4" w:name="_Hlk122089971"/>
      <w:r w:rsidRPr="00264768">
        <w:rPr>
          <w:rFonts w:cs="Arial"/>
          <w:i/>
          <w:iCs/>
        </w:rPr>
        <w:t>Supplementary funding hourly rate for maintained nursery schools</w:t>
      </w:r>
    </w:p>
    <w:bookmarkEnd w:id="4"/>
    <w:p w14:paraId="38E9E25A" w14:textId="77777777" w:rsidR="000A13C3" w:rsidRPr="00264768" w:rsidRDefault="00147B55" w:rsidP="000A13C3">
      <w:pPr>
        <w:jc w:val="both"/>
        <w:rPr>
          <w:rFonts w:cs="Arial"/>
          <w:color w:val="0B0C0C"/>
        </w:rPr>
      </w:pPr>
      <w:r w:rsidRPr="00264768">
        <w:rPr>
          <w:rFonts w:cs="Arial"/>
          <w:color w:val="0B0C0C"/>
        </w:rPr>
        <w:t>Lancashire will receive a £0.</w:t>
      </w:r>
      <w:r w:rsidR="00B96F54" w:rsidRPr="00264768">
        <w:rPr>
          <w:rFonts w:cs="Arial"/>
          <w:color w:val="0B0C0C"/>
        </w:rPr>
        <w:t>64</w:t>
      </w:r>
      <w:r w:rsidRPr="00264768">
        <w:rPr>
          <w:rFonts w:cs="Arial"/>
          <w:color w:val="0B0C0C"/>
        </w:rPr>
        <w:t xml:space="preserve"> increase in the supplementary funding hourly rate for maintained nursery schools in 202</w:t>
      </w:r>
      <w:r w:rsidR="00E6695B" w:rsidRPr="00264768">
        <w:rPr>
          <w:rFonts w:cs="Arial"/>
          <w:color w:val="0B0C0C"/>
        </w:rPr>
        <w:t>3</w:t>
      </w:r>
      <w:r w:rsidRPr="00264768">
        <w:rPr>
          <w:rFonts w:cs="Arial"/>
          <w:color w:val="0B0C0C"/>
        </w:rPr>
        <w:t>/2</w:t>
      </w:r>
      <w:r w:rsidR="00E6695B" w:rsidRPr="00264768">
        <w:rPr>
          <w:rFonts w:cs="Arial"/>
          <w:color w:val="0B0C0C"/>
        </w:rPr>
        <w:t>4</w:t>
      </w:r>
      <w:r w:rsidRPr="00264768">
        <w:rPr>
          <w:rFonts w:cs="Arial"/>
          <w:color w:val="0B0C0C"/>
        </w:rPr>
        <w:t>, which will be passed to the maintained nursery schools, providing a revised hourly supplement rate of £</w:t>
      </w:r>
      <w:r w:rsidR="00D91E1F" w:rsidRPr="00264768">
        <w:rPr>
          <w:rFonts w:cs="Arial"/>
          <w:color w:val="0B0C0C"/>
        </w:rPr>
        <w:t>4.31</w:t>
      </w:r>
      <w:r w:rsidRPr="00264768">
        <w:rPr>
          <w:rFonts w:cs="Arial"/>
          <w:color w:val="0B0C0C"/>
        </w:rPr>
        <w:t xml:space="preserve"> per hour.</w:t>
      </w:r>
    </w:p>
    <w:p w14:paraId="7F9D6B36" w14:textId="77777777" w:rsidR="000F3E1B" w:rsidRPr="00264768" w:rsidRDefault="000F3E1B" w:rsidP="000A13C3">
      <w:pPr>
        <w:jc w:val="both"/>
        <w:rPr>
          <w:rFonts w:cs="Arial"/>
          <w:color w:val="0B0C0C"/>
        </w:rPr>
      </w:pPr>
    </w:p>
    <w:p w14:paraId="5526F29F" w14:textId="77777777" w:rsidR="00E86A84" w:rsidRPr="00264768" w:rsidRDefault="00147B55" w:rsidP="000A13C3">
      <w:pPr>
        <w:jc w:val="both"/>
        <w:rPr>
          <w:rFonts w:cs="Arial"/>
          <w:color w:val="0B0C0C"/>
        </w:rPr>
      </w:pPr>
      <w:r w:rsidRPr="00264768">
        <w:rPr>
          <w:rFonts w:cs="Arial"/>
          <w:color w:val="0B0C0C"/>
        </w:rPr>
        <w:t>The significant increase in the Supplementary Funding is due to the Teachers' Pension and Pa</w:t>
      </w:r>
      <w:r w:rsidR="00B96F54" w:rsidRPr="00264768">
        <w:rPr>
          <w:rFonts w:cs="Arial"/>
          <w:color w:val="0B0C0C"/>
        </w:rPr>
        <w:t>y</w:t>
      </w:r>
      <w:r w:rsidRPr="00264768">
        <w:rPr>
          <w:rFonts w:cs="Arial"/>
          <w:color w:val="0B0C0C"/>
        </w:rPr>
        <w:t xml:space="preserve"> Grant now being incorporated into the base rate</w:t>
      </w:r>
      <w:r w:rsidR="00E55FF8">
        <w:rPr>
          <w:rFonts w:cs="Arial"/>
          <w:color w:val="0B0C0C"/>
        </w:rPr>
        <w:t>.</w:t>
      </w:r>
    </w:p>
    <w:p w14:paraId="6D6EFC3C" w14:textId="77777777" w:rsidR="00E740C8" w:rsidRPr="00264768" w:rsidRDefault="00E740C8" w:rsidP="000A13C3">
      <w:pPr>
        <w:jc w:val="both"/>
        <w:rPr>
          <w:rFonts w:cs="Arial"/>
          <w:i/>
          <w:iCs/>
        </w:rPr>
      </w:pPr>
    </w:p>
    <w:p w14:paraId="55CF81AE" w14:textId="77777777" w:rsidR="00E214A3" w:rsidRPr="00264768" w:rsidRDefault="00147B55" w:rsidP="000A13C3">
      <w:pPr>
        <w:jc w:val="both"/>
        <w:rPr>
          <w:rFonts w:cs="Arial"/>
          <w:i/>
          <w:iCs/>
        </w:rPr>
      </w:pPr>
      <w:r w:rsidRPr="00264768">
        <w:rPr>
          <w:rFonts w:cs="Arial"/>
          <w:i/>
          <w:iCs/>
        </w:rPr>
        <w:t>Early Years Pupil Premium</w:t>
      </w:r>
    </w:p>
    <w:p w14:paraId="14AEE208" w14:textId="096682B1" w:rsidR="000A13C3" w:rsidRPr="00264768" w:rsidRDefault="00147B55" w:rsidP="000A13C3">
      <w:pPr>
        <w:jc w:val="both"/>
        <w:rPr>
          <w:rFonts w:cs="Arial"/>
          <w:color w:val="0B0C0C"/>
        </w:rPr>
      </w:pPr>
      <w:r w:rsidRPr="00264768">
        <w:rPr>
          <w:rFonts w:cs="Arial"/>
          <w:color w:val="0B0C0C"/>
        </w:rPr>
        <w:t xml:space="preserve">Lancashire will </w:t>
      </w:r>
      <w:r w:rsidR="00E214A3" w:rsidRPr="00264768">
        <w:rPr>
          <w:rFonts w:cs="Arial"/>
          <w:color w:val="0B0C0C"/>
        </w:rPr>
        <w:t xml:space="preserve">receive an </w:t>
      </w:r>
      <w:r w:rsidRPr="00264768">
        <w:rPr>
          <w:rFonts w:cs="Arial"/>
          <w:color w:val="0B0C0C"/>
        </w:rPr>
        <w:t xml:space="preserve">increase </w:t>
      </w:r>
      <w:r w:rsidR="00E214A3" w:rsidRPr="00264768">
        <w:rPr>
          <w:rFonts w:cs="Arial"/>
          <w:color w:val="0B0C0C"/>
        </w:rPr>
        <w:t xml:space="preserve">on </w:t>
      </w:r>
      <w:r w:rsidRPr="00264768">
        <w:rPr>
          <w:rFonts w:cs="Arial"/>
          <w:color w:val="0B0C0C"/>
        </w:rPr>
        <w:t>our early years pupil premium rate by 2p</w:t>
      </w:r>
      <w:r w:rsidR="006C4D79" w:rsidRPr="00264768">
        <w:rPr>
          <w:rFonts w:cs="Arial"/>
          <w:color w:val="0B0C0C"/>
        </w:rPr>
        <w:t>, increasing the hourly rate to</w:t>
      </w:r>
      <w:r w:rsidRPr="00264768">
        <w:rPr>
          <w:rFonts w:cs="Arial"/>
          <w:color w:val="0B0C0C"/>
        </w:rPr>
        <w:t xml:space="preserve"> 62p, equivalent to up to £3</w:t>
      </w:r>
      <w:r w:rsidR="00325506" w:rsidRPr="00264768">
        <w:rPr>
          <w:rFonts w:cs="Arial"/>
          <w:color w:val="0B0C0C"/>
        </w:rPr>
        <w:t>53</w:t>
      </w:r>
      <w:r w:rsidRPr="00264768">
        <w:rPr>
          <w:rFonts w:cs="Arial"/>
          <w:color w:val="0B0C0C"/>
        </w:rPr>
        <w:t xml:space="preserve"> per eligible child per year, for 2023/24, in line with national announcements</w:t>
      </w:r>
      <w:r w:rsidR="000D0FA1">
        <w:rPr>
          <w:rFonts w:cs="Arial"/>
          <w:color w:val="0B0C0C"/>
        </w:rPr>
        <w:t>.</w:t>
      </w:r>
    </w:p>
    <w:p w14:paraId="1421FD03" w14:textId="28CF0CFF" w:rsidR="00325506" w:rsidRDefault="00325506" w:rsidP="000A13C3">
      <w:pPr>
        <w:jc w:val="both"/>
        <w:rPr>
          <w:rFonts w:cs="Arial"/>
          <w:b/>
          <w:bCs/>
          <w:color w:val="0B0C0C"/>
        </w:rPr>
      </w:pPr>
    </w:p>
    <w:p w14:paraId="2A324DAF" w14:textId="66DAEB25" w:rsidR="009849A8" w:rsidRDefault="009849A8" w:rsidP="000A13C3">
      <w:pPr>
        <w:jc w:val="both"/>
        <w:rPr>
          <w:rFonts w:cs="Arial"/>
          <w:b/>
          <w:bCs/>
          <w:color w:val="0B0C0C"/>
        </w:rPr>
      </w:pPr>
    </w:p>
    <w:p w14:paraId="777BC999" w14:textId="62F1E6A5" w:rsidR="009849A8" w:rsidRDefault="009849A8" w:rsidP="000A13C3">
      <w:pPr>
        <w:jc w:val="both"/>
        <w:rPr>
          <w:rFonts w:cs="Arial"/>
          <w:b/>
          <w:bCs/>
          <w:color w:val="0B0C0C"/>
        </w:rPr>
      </w:pPr>
    </w:p>
    <w:p w14:paraId="752A2FB7" w14:textId="77777777" w:rsidR="009849A8" w:rsidRPr="00264768" w:rsidRDefault="009849A8" w:rsidP="000A13C3">
      <w:pPr>
        <w:jc w:val="both"/>
        <w:rPr>
          <w:rFonts w:cs="Arial"/>
          <w:b/>
          <w:bCs/>
          <w:color w:val="0B0C0C"/>
        </w:rPr>
      </w:pPr>
    </w:p>
    <w:p w14:paraId="76F42717" w14:textId="77777777" w:rsidR="000A13C3" w:rsidRPr="00264768" w:rsidRDefault="00147B55" w:rsidP="000A13C3">
      <w:pPr>
        <w:jc w:val="both"/>
        <w:rPr>
          <w:rFonts w:cs="Arial"/>
          <w:i/>
          <w:iCs/>
        </w:rPr>
      </w:pPr>
      <w:r w:rsidRPr="00264768">
        <w:rPr>
          <w:rFonts w:cs="Arial"/>
          <w:i/>
          <w:iCs/>
        </w:rPr>
        <w:lastRenderedPageBreak/>
        <w:t>Disability Access Fund</w:t>
      </w:r>
    </w:p>
    <w:p w14:paraId="0F8C96BE" w14:textId="6E756F45" w:rsidR="000A13C3" w:rsidRDefault="00147B55" w:rsidP="000A13C3">
      <w:pPr>
        <w:jc w:val="both"/>
        <w:rPr>
          <w:rFonts w:cs="Arial"/>
          <w:color w:val="0B0C0C"/>
        </w:rPr>
      </w:pPr>
      <w:r w:rsidRPr="00264768">
        <w:rPr>
          <w:rFonts w:cs="Arial"/>
          <w:color w:val="0B0C0C"/>
        </w:rPr>
        <w:t>Lancashire will increase the disability access fund by £28 to £828 per eligible child per year for 2023/24, in line with national announcements.</w:t>
      </w:r>
    </w:p>
    <w:p w14:paraId="2A3AAA92" w14:textId="77777777" w:rsidR="009849A8" w:rsidRPr="00264768" w:rsidRDefault="009849A8" w:rsidP="000A13C3">
      <w:pPr>
        <w:jc w:val="both"/>
        <w:rPr>
          <w:rFonts w:cs="Arial"/>
          <w:color w:val="0B0C0C"/>
        </w:rPr>
      </w:pPr>
    </w:p>
    <w:p w14:paraId="0138311B" w14:textId="77777777" w:rsidR="00D54779" w:rsidRPr="00264768" w:rsidRDefault="00147B55" w:rsidP="000A13C3">
      <w:pPr>
        <w:jc w:val="both"/>
        <w:rPr>
          <w:rFonts w:cs="Arial"/>
          <w:i/>
          <w:iCs/>
        </w:rPr>
      </w:pPr>
      <w:r w:rsidRPr="00264768">
        <w:rPr>
          <w:rFonts w:cs="Arial"/>
          <w:i/>
          <w:iCs/>
        </w:rPr>
        <w:t>Special Educational Needs Inclusion Fund</w:t>
      </w:r>
    </w:p>
    <w:p w14:paraId="63C084F1" w14:textId="77777777" w:rsidR="00E86A84" w:rsidRPr="00264768" w:rsidRDefault="00147B55" w:rsidP="000A13C3">
      <w:pPr>
        <w:jc w:val="both"/>
        <w:rPr>
          <w:rFonts w:cs="Arial"/>
          <w:color w:val="0B0C0C"/>
        </w:rPr>
      </w:pPr>
      <w:r w:rsidRPr="00264768">
        <w:rPr>
          <w:rFonts w:cs="Arial"/>
          <w:color w:val="0B0C0C"/>
        </w:rPr>
        <w:t xml:space="preserve">Local authorities </w:t>
      </w:r>
      <w:r w:rsidR="00E55FF8" w:rsidRPr="00E55FF8">
        <w:rPr>
          <w:rFonts w:cs="Arial"/>
          <w:color w:val="0B0C0C"/>
        </w:rPr>
        <w:t xml:space="preserve">must have a Special Educational Needs Inclusion Fund for all eligible 3 and 4-year-olds </w:t>
      </w:r>
      <w:r w:rsidRPr="00264768">
        <w:rPr>
          <w:rFonts w:cs="Arial"/>
          <w:color w:val="0B0C0C"/>
        </w:rPr>
        <w:t xml:space="preserve">taking up the free entitlements, regardless of the number of hours taken. For </w:t>
      </w:r>
      <w:r w:rsidR="00D54779" w:rsidRPr="00264768">
        <w:rPr>
          <w:rFonts w:cs="Arial"/>
          <w:color w:val="0B0C0C"/>
        </w:rPr>
        <w:t>2023/24</w:t>
      </w:r>
      <w:r w:rsidRPr="00264768">
        <w:rPr>
          <w:rFonts w:cs="Arial"/>
          <w:color w:val="0B0C0C"/>
        </w:rPr>
        <w:t xml:space="preserve"> it is proposed to keep the Lancashire fund at the </w:t>
      </w:r>
      <w:r w:rsidR="00D54779" w:rsidRPr="00264768">
        <w:rPr>
          <w:rFonts w:cs="Arial"/>
          <w:color w:val="0B0C0C"/>
        </w:rPr>
        <w:t>2022/23</w:t>
      </w:r>
      <w:r w:rsidRPr="00264768">
        <w:rPr>
          <w:rFonts w:cs="Arial"/>
          <w:color w:val="0B0C0C"/>
        </w:rPr>
        <w:t xml:space="preserve"> level of £500k in total. This recommendation will need to be approved by Schools Forum</w:t>
      </w:r>
      <w:r>
        <w:rPr>
          <w:rFonts w:cs="Arial"/>
          <w:color w:val="0B0C0C"/>
        </w:rPr>
        <w:t>.</w:t>
      </w:r>
    </w:p>
    <w:p w14:paraId="6BB8EADD" w14:textId="77777777" w:rsidR="000A13C3" w:rsidRPr="00264768" w:rsidRDefault="000A13C3" w:rsidP="000A13C3">
      <w:pPr>
        <w:jc w:val="both"/>
        <w:rPr>
          <w:rFonts w:eastAsia="Calibri" w:cs="Arial"/>
          <w:lang w:eastAsia="en-US"/>
        </w:rPr>
      </w:pPr>
    </w:p>
    <w:p w14:paraId="3017195F" w14:textId="77777777" w:rsidR="000A13C3" w:rsidRPr="00264768" w:rsidRDefault="00147B55" w:rsidP="000A13C3">
      <w:pPr>
        <w:jc w:val="both"/>
        <w:rPr>
          <w:rFonts w:eastAsia="Calibri" w:cs="Arial"/>
          <w:lang w:eastAsia="en-US"/>
        </w:rPr>
      </w:pPr>
      <w:r w:rsidRPr="00264768">
        <w:rPr>
          <w:rFonts w:eastAsia="Calibri" w:cs="Arial"/>
          <w:lang w:eastAsia="en-US"/>
        </w:rPr>
        <w:t>The Early Years Block expenditure for 2023/24 is therefore estimated in the table below:</w:t>
      </w:r>
    </w:p>
    <w:p w14:paraId="0135195F" w14:textId="77777777" w:rsidR="000A13C3" w:rsidRPr="00264768" w:rsidRDefault="000A13C3" w:rsidP="000A13C3">
      <w:pPr>
        <w:jc w:val="both"/>
        <w:rPr>
          <w:rFonts w:eastAsia="Calibri" w:cs="Arial"/>
          <w:lang w:eastAsia="en-US"/>
        </w:rPr>
      </w:pPr>
    </w:p>
    <w:tbl>
      <w:tblPr>
        <w:tblW w:w="8354" w:type="dxa"/>
        <w:tblLook w:val="04A0" w:firstRow="1" w:lastRow="0" w:firstColumn="1" w:lastColumn="0" w:noHBand="0" w:noVBand="1"/>
      </w:tblPr>
      <w:tblGrid>
        <w:gridCol w:w="7120"/>
        <w:gridCol w:w="1234"/>
      </w:tblGrid>
      <w:tr w:rsidR="00CE2685" w14:paraId="41B83F4F" w14:textId="77777777" w:rsidTr="00E37A08">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0C67" w14:textId="77777777" w:rsidR="000A13C3" w:rsidRPr="00264768" w:rsidRDefault="00147B55" w:rsidP="000A13C3">
            <w:pPr>
              <w:rPr>
                <w:rFonts w:cs="Arial"/>
                <w:b/>
                <w:color w:val="000000"/>
              </w:rPr>
            </w:pPr>
            <w:r w:rsidRPr="00264768">
              <w:rPr>
                <w:rFonts w:cs="Arial"/>
                <w:b/>
                <w:color w:val="000000"/>
              </w:rPr>
              <w:t>Forecast EYB Expenditure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C2C8" w14:textId="77777777" w:rsidR="000A13C3" w:rsidRPr="00264768" w:rsidRDefault="00147B55" w:rsidP="000A13C3">
            <w:pPr>
              <w:jc w:val="right"/>
              <w:rPr>
                <w:rFonts w:cs="Arial"/>
                <w:b/>
                <w:color w:val="000000"/>
              </w:rPr>
            </w:pPr>
            <w:r w:rsidRPr="00264768">
              <w:rPr>
                <w:rFonts w:cs="Arial"/>
                <w:b/>
                <w:color w:val="000000"/>
              </w:rPr>
              <w:t>£m's</w:t>
            </w:r>
          </w:p>
        </w:tc>
      </w:tr>
      <w:tr w:rsidR="00CE2685" w14:paraId="56BFCE65" w14:textId="77777777" w:rsidTr="00E37A08">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8C92" w14:textId="77777777" w:rsidR="000A13C3" w:rsidRPr="00264768" w:rsidRDefault="00147B55" w:rsidP="000A13C3">
            <w:pPr>
              <w:rPr>
                <w:rFonts w:cs="Arial"/>
                <w:color w:val="000000"/>
              </w:rPr>
            </w:pPr>
            <w:r w:rsidRPr="00264768">
              <w:rPr>
                <w:rFonts w:cs="Arial"/>
                <w:bCs/>
                <w:color w:val="000000"/>
              </w:rPr>
              <w:t xml:space="preserve">Early Years Block </w:t>
            </w:r>
            <w:r w:rsidR="00422940" w:rsidRPr="00264768">
              <w:rPr>
                <w:rFonts w:cs="Arial"/>
                <w:bCs/>
                <w:color w:val="000000"/>
              </w:rPr>
              <w:t>2-year-olds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A92D5" w14:textId="77777777" w:rsidR="000A13C3" w:rsidRPr="00264768" w:rsidRDefault="00147B55" w:rsidP="000A13C3">
            <w:pPr>
              <w:jc w:val="right"/>
              <w:rPr>
                <w:rFonts w:cs="Arial"/>
                <w:color w:val="000000"/>
              </w:rPr>
            </w:pPr>
            <w:r w:rsidRPr="00264768">
              <w:rPr>
                <w:rFonts w:cs="Arial"/>
                <w:color w:val="000000"/>
              </w:rPr>
              <w:t>10.446</w:t>
            </w:r>
          </w:p>
        </w:tc>
      </w:tr>
      <w:tr w:rsidR="00CE2685" w14:paraId="28B09577" w14:textId="77777777" w:rsidTr="00E37A08">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DCA71" w14:textId="77777777" w:rsidR="000A13C3" w:rsidRPr="00264768" w:rsidRDefault="00147B55" w:rsidP="000A13C3">
            <w:pPr>
              <w:rPr>
                <w:rFonts w:cs="Arial"/>
                <w:color w:val="000000"/>
              </w:rPr>
            </w:pPr>
            <w:r w:rsidRPr="00264768">
              <w:rPr>
                <w:rFonts w:cs="Arial"/>
                <w:bCs/>
                <w:color w:val="000000"/>
              </w:rPr>
              <w:t xml:space="preserve">Early Years Block </w:t>
            </w:r>
            <w:r w:rsidR="00422940" w:rsidRPr="00264768">
              <w:rPr>
                <w:rFonts w:cs="Arial"/>
                <w:bCs/>
                <w:color w:val="000000"/>
              </w:rPr>
              <w:t>3/4-year-olds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C0B0D" w14:textId="77777777" w:rsidR="000A13C3" w:rsidRPr="00264768" w:rsidRDefault="00147B55" w:rsidP="000A13C3">
            <w:pPr>
              <w:jc w:val="right"/>
              <w:rPr>
                <w:rFonts w:cs="Arial"/>
                <w:color w:val="000000"/>
              </w:rPr>
            </w:pPr>
            <w:r w:rsidRPr="00264768">
              <w:rPr>
                <w:rFonts w:cs="Arial"/>
                <w:color w:val="000000"/>
              </w:rPr>
              <w:t>71.</w:t>
            </w:r>
            <w:r w:rsidR="0039311B" w:rsidRPr="00264768">
              <w:rPr>
                <w:rFonts w:cs="Arial"/>
                <w:color w:val="000000"/>
              </w:rPr>
              <w:t>3</w:t>
            </w:r>
            <w:r w:rsidRPr="00264768">
              <w:rPr>
                <w:rFonts w:cs="Arial"/>
                <w:color w:val="000000"/>
              </w:rPr>
              <w:t>64</w:t>
            </w:r>
          </w:p>
        </w:tc>
      </w:tr>
      <w:tr w:rsidR="00CE2685" w14:paraId="7B1F8303" w14:textId="77777777" w:rsidTr="00E37A08">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C25C" w14:textId="77777777" w:rsidR="000A13C3" w:rsidRPr="00264768" w:rsidRDefault="00147B55" w:rsidP="000A13C3">
            <w:pPr>
              <w:rPr>
                <w:rFonts w:cs="Arial"/>
                <w:color w:val="000000"/>
              </w:rPr>
            </w:pPr>
            <w:r w:rsidRPr="00264768">
              <w:rPr>
                <w:rFonts w:cs="Arial"/>
                <w:color w:val="000000"/>
              </w:rPr>
              <w:t>Early Years Pupil Premium expenditure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70BE0" w14:textId="77777777" w:rsidR="000A13C3" w:rsidRPr="00264768" w:rsidRDefault="00147B55" w:rsidP="000A13C3">
            <w:pPr>
              <w:jc w:val="right"/>
              <w:rPr>
                <w:rFonts w:cs="Arial"/>
                <w:color w:val="000000"/>
              </w:rPr>
            </w:pPr>
            <w:r w:rsidRPr="00264768">
              <w:rPr>
                <w:rFonts w:cs="Arial"/>
                <w:color w:val="000000"/>
              </w:rPr>
              <w:t>0.975</w:t>
            </w:r>
          </w:p>
        </w:tc>
      </w:tr>
      <w:tr w:rsidR="00CE2685" w14:paraId="0855AD73" w14:textId="77777777" w:rsidTr="00E37A08">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0700" w14:textId="77777777" w:rsidR="000A13C3" w:rsidRPr="00264768" w:rsidRDefault="00147B55" w:rsidP="000A13C3">
            <w:pPr>
              <w:rPr>
                <w:rFonts w:cs="Arial"/>
                <w:color w:val="000000"/>
              </w:rPr>
            </w:pPr>
            <w:r w:rsidRPr="00264768">
              <w:rPr>
                <w:rFonts w:cs="Arial"/>
                <w:color w:val="000000"/>
              </w:rPr>
              <w:t>Early Years Disability Access Fund expenditure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36B0" w14:textId="77777777" w:rsidR="000A13C3" w:rsidRPr="00264768" w:rsidRDefault="00147B55" w:rsidP="000A13C3">
            <w:pPr>
              <w:jc w:val="right"/>
              <w:rPr>
                <w:rFonts w:cs="Arial"/>
                <w:color w:val="000000"/>
              </w:rPr>
            </w:pPr>
            <w:r w:rsidRPr="00264768">
              <w:rPr>
                <w:rFonts w:cs="Arial"/>
                <w:color w:val="000000"/>
              </w:rPr>
              <w:t>0.437</w:t>
            </w:r>
          </w:p>
        </w:tc>
      </w:tr>
      <w:tr w:rsidR="00CE2685" w14:paraId="3476E45C" w14:textId="77777777" w:rsidTr="00E37A08">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BBF09" w14:textId="77777777" w:rsidR="000A13C3" w:rsidRPr="00264768" w:rsidRDefault="00147B55" w:rsidP="000A13C3">
            <w:pPr>
              <w:rPr>
                <w:rFonts w:cs="Arial"/>
                <w:color w:val="000000"/>
              </w:rPr>
            </w:pPr>
            <w:r w:rsidRPr="00264768">
              <w:rPr>
                <w:rFonts w:cs="Arial"/>
                <w:color w:val="000000"/>
              </w:rPr>
              <w:t>Nursery School Maintained Nursery School</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CA731" w14:textId="77777777" w:rsidR="000A13C3" w:rsidRPr="00264768" w:rsidRDefault="00147B55" w:rsidP="000A13C3">
            <w:pPr>
              <w:jc w:val="right"/>
              <w:rPr>
                <w:rFonts w:cs="Arial"/>
                <w:color w:val="000000"/>
              </w:rPr>
            </w:pPr>
            <w:r w:rsidRPr="00264768">
              <w:rPr>
                <w:rFonts w:cs="Arial"/>
                <w:color w:val="000000"/>
              </w:rPr>
              <w:t>3.921</w:t>
            </w:r>
          </w:p>
        </w:tc>
      </w:tr>
      <w:tr w:rsidR="00CE2685" w14:paraId="17BFEFB1" w14:textId="77777777" w:rsidTr="00E37A08">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63EE" w14:textId="77777777" w:rsidR="000A13C3" w:rsidRPr="00264768" w:rsidRDefault="00147B55" w:rsidP="000A13C3">
            <w:pPr>
              <w:rPr>
                <w:rFonts w:cs="Arial"/>
                <w:color w:val="000000"/>
              </w:rPr>
            </w:pPr>
            <w:r w:rsidRPr="00264768">
              <w:rPr>
                <w:rFonts w:cs="Arial"/>
                <w:color w:val="000000"/>
              </w:rPr>
              <w:t>Special Educational Needs Inclusion</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D7860" w14:textId="77777777" w:rsidR="000A13C3" w:rsidRPr="00264768" w:rsidRDefault="00147B55" w:rsidP="000A13C3">
            <w:pPr>
              <w:jc w:val="right"/>
              <w:rPr>
                <w:rFonts w:cs="Arial"/>
                <w:color w:val="000000"/>
              </w:rPr>
            </w:pPr>
            <w:r w:rsidRPr="00264768">
              <w:rPr>
                <w:rFonts w:cs="Arial"/>
                <w:color w:val="000000"/>
              </w:rPr>
              <w:t>0.500</w:t>
            </w:r>
          </w:p>
        </w:tc>
      </w:tr>
      <w:tr w:rsidR="00CE2685" w14:paraId="23878E10" w14:textId="77777777" w:rsidTr="00E37A08">
        <w:trPr>
          <w:trHeight w:val="300"/>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B13AC" w14:textId="77777777" w:rsidR="000A13C3" w:rsidRPr="00264768" w:rsidRDefault="00147B55" w:rsidP="000A13C3">
            <w:pPr>
              <w:rPr>
                <w:rFonts w:cs="Arial"/>
                <w:b/>
                <w:bCs/>
                <w:color w:val="000000"/>
              </w:rPr>
            </w:pPr>
            <w:r w:rsidRPr="00264768">
              <w:rPr>
                <w:rFonts w:cs="Arial"/>
                <w:b/>
                <w:bCs/>
                <w:color w:val="000000"/>
              </w:rPr>
              <w:t>Total</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7410" w14:textId="77777777" w:rsidR="000A13C3" w:rsidRPr="00264768" w:rsidRDefault="00147B55" w:rsidP="000A13C3">
            <w:pPr>
              <w:jc w:val="right"/>
              <w:rPr>
                <w:rFonts w:cs="Arial"/>
                <w:b/>
                <w:bCs/>
                <w:color w:val="000000"/>
                <w:highlight w:val="yellow"/>
              </w:rPr>
            </w:pPr>
            <w:r w:rsidRPr="00264768">
              <w:rPr>
                <w:rFonts w:cs="Arial"/>
                <w:b/>
                <w:bCs/>
                <w:color w:val="000000"/>
              </w:rPr>
              <w:t>87.64</w:t>
            </w:r>
          </w:p>
        </w:tc>
      </w:tr>
    </w:tbl>
    <w:p w14:paraId="2261C638" w14:textId="77777777" w:rsidR="0088660C" w:rsidRPr="00264768" w:rsidRDefault="0088660C" w:rsidP="000A13C3">
      <w:pPr>
        <w:jc w:val="both"/>
        <w:rPr>
          <w:rFonts w:cs="Arial"/>
          <w:color w:val="000000"/>
        </w:rPr>
      </w:pPr>
    </w:p>
    <w:p w14:paraId="1BFE13FC" w14:textId="77777777" w:rsidR="000B7ED1" w:rsidRPr="00264768" w:rsidRDefault="00147B55" w:rsidP="000A13C3">
      <w:pPr>
        <w:tabs>
          <w:tab w:val="left" w:pos="1635"/>
        </w:tabs>
        <w:jc w:val="both"/>
        <w:rPr>
          <w:rFonts w:cs="Arial"/>
        </w:rPr>
      </w:pPr>
      <w:r w:rsidRPr="00264768">
        <w:rPr>
          <w:rFonts w:cs="Arial"/>
          <w:b/>
        </w:rPr>
        <w:t>Central Schools Services Block (CSSB) (£6.81m</w:t>
      </w:r>
      <w:r w:rsidRPr="00264768">
        <w:rPr>
          <w:rFonts w:cs="Arial"/>
        </w:rPr>
        <w:t>)</w:t>
      </w:r>
    </w:p>
    <w:p w14:paraId="7D516284" w14:textId="77777777" w:rsidR="000A13C3" w:rsidRPr="00264768" w:rsidRDefault="00147B55" w:rsidP="000A13C3">
      <w:pPr>
        <w:jc w:val="both"/>
        <w:rPr>
          <w:rFonts w:cs="Arial"/>
        </w:rPr>
      </w:pPr>
      <w:r w:rsidRPr="00264768">
        <w:rPr>
          <w:rFonts w:cs="Arial"/>
        </w:rPr>
        <w:t>The estimated Central Schools Services Block expenditure in 2023/24 is £</w:t>
      </w:r>
      <w:r w:rsidR="00E55FF8">
        <w:rPr>
          <w:rFonts w:cs="Arial"/>
        </w:rPr>
        <w:t xml:space="preserve"> 6.81m.</w:t>
      </w:r>
    </w:p>
    <w:p w14:paraId="363D5618" w14:textId="77777777" w:rsidR="000A13C3" w:rsidRPr="00264768" w:rsidRDefault="000A13C3" w:rsidP="000A13C3">
      <w:pPr>
        <w:jc w:val="both"/>
        <w:rPr>
          <w:rFonts w:cs="Arial"/>
        </w:rPr>
      </w:pPr>
    </w:p>
    <w:p w14:paraId="6A1C9F2C" w14:textId="77777777" w:rsidR="000A13C3" w:rsidRPr="00264768" w:rsidRDefault="00147B55" w:rsidP="000A13C3">
      <w:pPr>
        <w:jc w:val="both"/>
        <w:rPr>
          <w:rFonts w:cs="Arial"/>
        </w:rPr>
      </w:pPr>
      <w:r w:rsidRPr="00264768">
        <w:rPr>
          <w:rFonts w:cs="Arial"/>
        </w:rPr>
        <w:t xml:space="preserve">The budget takes account of the Department for Education's decision to reduce the Historic Commitments element of the budget by a further 20% from April 2023, as part of their intention to cease all 'historic' funding over time.  </w:t>
      </w:r>
    </w:p>
    <w:p w14:paraId="67134D9F" w14:textId="77777777" w:rsidR="000A13C3" w:rsidRPr="00264768" w:rsidRDefault="000A13C3" w:rsidP="000A13C3">
      <w:pPr>
        <w:jc w:val="both"/>
        <w:rPr>
          <w:rFonts w:cs="Arial"/>
        </w:rPr>
      </w:pPr>
    </w:p>
    <w:p w14:paraId="6A95C984" w14:textId="77777777" w:rsidR="000A13C3" w:rsidRPr="00264768" w:rsidRDefault="00147B55" w:rsidP="000A13C3">
      <w:pPr>
        <w:jc w:val="both"/>
        <w:rPr>
          <w:rFonts w:cs="Arial"/>
        </w:rPr>
      </w:pPr>
      <w:r w:rsidRPr="00264768">
        <w:rPr>
          <w:rFonts w:cs="Arial"/>
        </w:rPr>
        <w:t xml:space="preserve">Careful consideration will be needed around the Central Schools Services Block in future years, as Department for Education </w:t>
      </w:r>
      <w:r w:rsidR="00E55FF8">
        <w:rPr>
          <w:rFonts w:cs="Arial"/>
        </w:rPr>
        <w:t>implements</w:t>
      </w:r>
      <w:r w:rsidRPr="00264768">
        <w:rPr>
          <w:rFonts w:cs="Arial"/>
        </w:rPr>
        <w:t xml:space="preserve"> further reductions in the Historic Commitments budget.</w:t>
      </w:r>
    </w:p>
    <w:p w14:paraId="0F60B75B" w14:textId="77777777" w:rsidR="009B4795" w:rsidRPr="00264768" w:rsidRDefault="009B4795" w:rsidP="000A13C3">
      <w:pPr>
        <w:jc w:val="both"/>
        <w:rPr>
          <w:rFonts w:cs="Arial"/>
        </w:rPr>
      </w:pPr>
    </w:p>
    <w:p w14:paraId="0C66CED7" w14:textId="77777777" w:rsidR="009B4795" w:rsidRPr="00264768" w:rsidRDefault="00147B55" w:rsidP="000A13C3">
      <w:pPr>
        <w:jc w:val="both"/>
        <w:rPr>
          <w:rFonts w:cs="Arial"/>
        </w:rPr>
      </w:pPr>
      <w:r w:rsidRPr="00264768">
        <w:rPr>
          <w:rFonts w:cs="Arial"/>
        </w:rPr>
        <w:t>A proportion of the Central Schools Block funds services within Lancashire County Counci</w:t>
      </w:r>
      <w:r w:rsidR="00333DA5" w:rsidRPr="00264768">
        <w:rPr>
          <w:rFonts w:cs="Arial"/>
        </w:rPr>
        <w:t xml:space="preserve">l and a recharge is made into revenue budgets. We are currently awaiting further details on the </w:t>
      </w:r>
      <w:r w:rsidR="00264768">
        <w:rPr>
          <w:rFonts w:cs="Arial"/>
        </w:rPr>
        <w:t>20</w:t>
      </w:r>
      <w:r w:rsidR="00333DA5" w:rsidRPr="00264768">
        <w:rPr>
          <w:rFonts w:cs="Arial"/>
        </w:rPr>
        <w:t xml:space="preserve">23/24 recharge requirements, which may increase due to inflation, but </w:t>
      </w:r>
      <w:r w:rsidR="00CF232F" w:rsidRPr="00264768">
        <w:rPr>
          <w:rFonts w:cs="Arial"/>
        </w:rPr>
        <w:t>modelling will take place to ensure the Central Schools Block balances overall</w:t>
      </w:r>
      <w:r w:rsidR="00E55FF8">
        <w:rPr>
          <w:rFonts w:cs="Arial"/>
        </w:rPr>
        <w:t>.</w:t>
      </w:r>
    </w:p>
    <w:p w14:paraId="5F19CB18" w14:textId="77777777" w:rsidR="0088660C" w:rsidRPr="00264768" w:rsidRDefault="0088660C" w:rsidP="000A13C3">
      <w:pPr>
        <w:jc w:val="both"/>
        <w:rPr>
          <w:rFonts w:cs="Arial"/>
          <w:b/>
        </w:rPr>
      </w:pPr>
    </w:p>
    <w:p w14:paraId="7B915260" w14:textId="77777777" w:rsidR="000A13C3" w:rsidRPr="00264768" w:rsidRDefault="00147B55" w:rsidP="000A13C3">
      <w:pPr>
        <w:jc w:val="both"/>
        <w:rPr>
          <w:rFonts w:cs="Arial"/>
          <w:b/>
          <w:u w:val="single"/>
        </w:rPr>
      </w:pPr>
      <w:r w:rsidRPr="00264768">
        <w:rPr>
          <w:rFonts w:cs="Arial"/>
          <w:b/>
          <w:u w:val="single"/>
        </w:rPr>
        <w:t>Calculation of the final 2023/24 funding position</w:t>
      </w:r>
    </w:p>
    <w:p w14:paraId="111213FB" w14:textId="77777777" w:rsidR="000A13C3" w:rsidRPr="00264768" w:rsidRDefault="000A13C3" w:rsidP="000A13C3">
      <w:pPr>
        <w:jc w:val="both"/>
        <w:rPr>
          <w:rFonts w:cs="Arial"/>
        </w:rPr>
      </w:pPr>
    </w:p>
    <w:tbl>
      <w:tblPr>
        <w:tblStyle w:val="TableGrid1"/>
        <w:tblW w:w="0" w:type="auto"/>
        <w:tblLook w:val="04A0" w:firstRow="1" w:lastRow="0" w:firstColumn="1" w:lastColumn="0" w:noHBand="0" w:noVBand="1"/>
      </w:tblPr>
      <w:tblGrid>
        <w:gridCol w:w="7508"/>
        <w:gridCol w:w="1508"/>
      </w:tblGrid>
      <w:tr w:rsidR="00CE2685" w:rsidRPr="00147B55" w14:paraId="255EC937" w14:textId="77777777" w:rsidTr="00E37A08">
        <w:trPr>
          <w:trHeight w:val="350"/>
        </w:trPr>
        <w:tc>
          <w:tcPr>
            <w:tcW w:w="7508" w:type="dxa"/>
            <w:noWrap/>
          </w:tcPr>
          <w:p w14:paraId="7D953542" w14:textId="77777777" w:rsidR="000A13C3" w:rsidRPr="00147B55" w:rsidRDefault="000A13C3" w:rsidP="000A13C3">
            <w:pPr>
              <w:jc w:val="both"/>
              <w:rPr>
                <w:rFonts w:ascii="Arial" w:hAnsi="Arial" w:cs="Arial"/>
                <w:sz w:val="24"/>
              </w:rPr>
            </w:pPr>
          </w:p>
        </w:tc>
        <w:tc>
          <w:tcPr>
            <w:tcW w:w="1508" w:type="dxa"/>
            <w:noWrap/>
          </w:tcPr>
          <w:p w14:paraId="60292434" w14:textId="77777777" w:rsidR="000A13C3" w:rsidRPr="00147B55" w:rsidRDefault="00147B55" w:rsidP="000A13C3">
            <w:pPr>
              <w:jc w:val="both"/>
              <w:rPr>
                <w:rFonts w:ascii="Arial" w:hAnsi="Arial" w:cs="Arial"/>
                <w:b/>
                <w:sz w:val="24"/>
              </w:rPr>
            </w:pPr>
            <w:r w:rsidRPr="00147B55">
              <w:rPr>
                <w:rFonts w:ascii="Arial" w:hAnsi="Arial" w:cs="Arial"/>
                <w:b/>
                <w:sz w:val="24"/>
              </w:rPr>
              <w:t>£m's</w:t>
            </w:r>
          </w:p>
        </w:tc>
      </w:tr>
      <w:tr w:rsidR="00CE2685" w:rsidRPr="00147B55" w14:paraId="6D0EDBDC" w14:textId="77777777" w:rsidTr="00E37A08">
        <w:trPr>
          <w:trHeight w:val="350"/>
        </w:trPr>
        <w:tc>
          <w:tcPr>
            <w:tcW w:w="7508" w:type="dxa"/>
            <w:noWrap/>
            <w:vAlign w:val="center"/>
            <w:hideMark/>
          </w:tcPr>
          <w:p w14:paraId="405A1327" w14:textId="77777777" w:rsidR="000A13C3" w:rsidRPr="00147B55" w:rsidRDefault="00147B55" w:rsidP="000A13C3">
            <w:pPr>
              <w:jc w:val="both"/>
              <w:rPr>
                <w:rFonts w:ascii="Arial" w:hAnsi="Arial" w:cs="Arial"/>
                <w:b/>
                <w:sz w:val="24"/>
              </w:rPr>
            </w:pPr>
            <w:r w:rsidRPr="00147B55">
              <w:rPr>
                <w:rFonts w:ascii="Arial" w:hAnsi="Arial" w:cs="Arial"/>
                <w:b/>
                <w:sz w:val="24"/>
              </w:rPr>
              <w:t xml:space="preserve">Total forecast Dedicated Schools Grant </w:t>
            </w:r>
            <w:r w:rsidR="00722053" w:rsidRPr="00147B55">
              <w:rPr>
                <w:rFonts w:ascii="Arial" w:hAnsi="Arial" w:cs="Arial"/>
                <w:b/>
                <w:sz w:val="24"/>
              </w:rPr>
              <w:t xml:space="preserve">Budget </w:t>
            </w:r>
            <w:r w:rsidRPr="00147B55">
              <w:rPr>
                <w:rFonts w:ascii="Arial" w:hAnsi="Arial" w:cs="Arial"/>
                <w:b/>
                <w:sz w:val="24"/>
              </w:rPr>
              <w:t>2023/24</w:t>
            </w:r>
          </w:p>
        </w:tc>
        <w:tc>
          <w:tcPr>
            <w:tcW w:w="1508" w:type="dxa"/>
            <w:noWrap/>
            <w:hideMark/>
          </w:tcPr>
          <w:p w14:paraId="5A9DA6A5" w14:textId="77777777" w:rsidR="000A13C3" w:rsidRPr="00147B55" w:rsidRDefault="00147B55" w:rsidP="000A13C3">
            <w:pPr>
              <w:jc w:val="both"/>
              <w:rPr>
                <w:rFonts w:ascii="Arial" w:hAnsi="Arial" w:cs="Arial"/>
                <w:b/>
                <w:sz w:val="24"/>
              </w:rPr>
            </w:pPr>
            <w:r w:rsidRPr="00147B55">
              <w:rPr>
                <w:rFonts w:ascii="Arial" w:hAnsi="Arial" w:cs="Arial"/>
                <w:b/>
                <w:bCs/>
                <w:sz w:val="24"/>
              </w:rPr>
              <w:t>1,243.45</w:t>
            </w:r>
          </w:p>
        </w:tc>
      </w:tr>
      <w:tr w:rsidR="00CE2685" w:rsidRPr="00147B55" w14:paraId="0B2A0470" w14:textId="77777777" w:rsidTr="00E37A08">
        <w:trPr>
          <w:trHeight w:val="350"/>
        </w:trPr>
        <w:tc>
          <w:tcPr>
            <w:tcW w:w="7508" w:type="dxa"/>
            <w:noWrap/>
            <w:hideMark/>
          </w:tcPr>
          <w:p w14:paraId="6E15718B" w14:textId="77777777" w:rsidR="000A13C3" w:rsidRPr="00147B55" w:rsidRDefault="00147B55" w:rsidP="000A13C3">
            <w:pPr>
              <w:jc w:val="both"/>
              <w:rPr>
                <w:rFonts w:ascii="Arial" w:hAnsi="Arial" w:cs="Arial"/>
                <w:b/>
                <w:sz w:val="24"/>
              </w:rPr>
            </w:pPr>
            <w:r w:rsidRPr="00147B55">
              <w:rPr>
                <w:rFonts w:ascii="Arial" w:hAnsi="Arial" w:cs="Arial"/>
                <w:b/>
                <w:sz w:val="24"/>
              </w:rPr>
              <w:t>Total Forecast Dedicated Schools Grant Allocations 2023/24</w:t>
            </w:r>
          </w:p>
        </w:tc>
        <w:tc>
          <w:tcPr>
            <w:tcW w:w="1508" w:type="dxa"/>
            <w:noWrap/>
            <w:hideMark/>
          </w:tcPr>
          <w:p w14:paraId="47B1CD9E" w14:textId="77777777" w:rsidR="000A13C3" w:rsidRPr="00147B55" w:rsidRDefault="00147B55" w:rsidP="000A13C3">
            <w:pPr>
              <w:jc w:val="both"/>
              <w:rPr>
                <w:rFonts w:ascii="Arial" w:hAnsi="Arial" w:cs="Arial"/>
                <w:b/>
                <w:sz w:val="24"/>
              </w:rPr>
            </w:pPr>
            <w:r w:rsidRPr="00147B55">
              <w:rPr>
                <w:rFonts w:ascii="Arial" w:hAnsi="Arial" w:cs="Arial"/>
                <w:b/>
                <w:bCs/>
                <w:sz w:val="24"/>
              </w:rPr>
              <w:t>1,243.45</w:t>
            </w:r>
          </w:p>
        </w:tc>
      </w:tr>
    </w:tbl>
    <w:p w14:paraId="65F8EE96" w14:textId="77777777" w:rsidR="000A13C3" w:rsidRPr="00147B55" w:rsidRDefault="000A13C3" w:rsidP="000A13C3">
      <w:pPr>
        <w:jc w:val="both"/>
        <w:rPr>
          <w:rFonts w:cs="Arial"/>
        </w:rPr>
      </w:pPr>
    </w:p>
    <w:p w14:paraId="19E5EFA6" w14:textId="77777777" w:rsidR="00CF232F" w:rsidRPr="00264768" w:rsidRDefault="00147B55" w:rsidP="000A13C3">
      <w:pPr>
        <w:jc w:val="both"/>
        <w:rPr>
          <w:rFonts w:cs="Arial"/>
        </w:rPr>
      </w:pPr>
      <w:r w:rsidRPr="00264768">
        <w:rPr>
          <w:rFonts w:cs="Arial"/>
        </w:rPr>
        <w:t>The schools Budget proposals forecast a balanced Dedicated Schools Grant funding position in 2023/24</w:t>
      </w:r>
      <w:r w:rsidR="00CE1C55" w:rsidRPr="00264768">
        <w:rPr>
          <w:rFonts w:cs="Arial"/>
        </w:rPr>
        <w:t xml:space="preserve">. </w:t>
      </w:r>
    </w:p>
    <w:p w14:paraId="25277026" w14:textId="77777777" w:rsidR="00CF232F" w:rsidRPr="00264768" w:rsidRDefault="00CF232F" w:rsidP="000A13C3">
      <w:pPr>
        <w:jc w:val="both"/>
        <w:rPr>
          <w:rFonts w:cs="Arial"/>
        </w:rPr>
      </w:pPr>
    </w:p>
    <w:p w14:paraId="083F9C3E" w14:textId="27AE6A4C" w:rsidR="00C4285E" w:rsidRDefault="00147B55" w:rsidP="000A13C3">
      <w:pPr>
        <w:jc w:val="both"/>
        <w:rPr>
          <w:rFonts w:cs="Arial"/>
        </w:rPr>
      </w:pPr>
      <w:r w:rsidRPr="00264768">
        <w:rPr>
          <w:rFonts w:cs="Arial"/>
        </w:rPr>
        <w:t xml:space="preserve">The High Needs Block is </w:t>
      </w:r>
      <w:r w:rsidR="00CF232F" w:rsidRPr="00264768">
        <w:rPr>
          <w:rFonts w:cs="Arial"/>
        </w:rPr>
        <w:t xml:space="preserve">currently </w:t>
      </w:r>
      <w:r w:rsidRPr="00264768">
        <w:rPr>
          <w:rFonts w:cs="Arial"/>
        </w:rPr>
        <w:t xml:space="preserve">showing an underspend based on initial </w:t>
      </w:r>
      <w:r w:rsidR="00AE2E13" w:rsidRPr="00264768">
        <w:rPr>
          <w:rFonts w:cs="Arial"/>
        </w:rPr>
        <w:t>forecasting,</w:t>
      </w:r>
      <w:r w:rsidRPr="00264768">
        <w:rPr>
          <w:rFonts w:cs="Arial"/>
        </w:rPr>
        <w:t xml:space="preserve"> adjustments </w:t>
      </w:r>
      <w:r w:rsidR="00AE2E13" w:rsidRPr="00264768">
        <w:rPr>
          <w:rFonts w:cs="Arial"/>
        </w:rPr>
        <w:t>still need</w:t>
      </w:r>
      <w:r w:rsidRPr="00264768">
        <w:rPr>
          <w:rFonts w:cs="Arial"/>
        </w:rPr>
        <w:t xml:space="preserve"> to be made to this </w:t>
      </w:r>
      <w:r w:rsidR="00CF232F" w:rsidRPr="00264768">
        <w:rPr>
          <w:rFonts w:cs="Arial"/>
        </w:rPr>
        <w:t xml:space="preserve">block </w:t>
      </w:r>
      <w:r w:rsidRPr="00264768">
        <w:rPr>
          <w:rFonts w:cs="Arial"/>
        </w:rPr>
        <w:t xml:space="preserve">funding by ESFA and demand could </w:t>
      </w:r>
      <w:r w:rsidRPr="00264768">
        <w:rPr>
          <w:rFonts w:cs="Arial"/>
        </w:rPr>
        <w:lastRenderedPageBreak/>
        <w:t xml:space="preserve">increase even further before 23/24 or throughout the </w:t>
      </w:r>
      <w:r>
        <w:rPr>
          <w:rFonts w:cs="Arial"/>
        </w:rPr>
        <w:t>20</w:t>
      </w:r>
      <w:r w:rsidRPr="00264768">
        <w:rPr>
          <w:rFonts w:cs="Arial"/>
        </w:rPr>
        <w:t>23/24 financial year</w:t>
      </w:r>
      <w:r w:rsidR="00CF232F" w:rsidRPr="00264768">
        <w:rPr>
          <w:rFonts w:cs="Arial"/>
        </w:rPr>
        <w:t>,</w:t>
      </w:r>
      <w:r w:rsidRPr="00264768">
        <w:rPr>
          <w:rFonts w:cs="Arial"/>
        </w:rPr>
        <w:t xml:space="preserve"> so this underspend will be </w:t>
      </w:r>
      <w:r w:rsidR="00CF232F" w:rsidRPr="00264768">
        <w:rPr>
          <w:rFonts w:cs="Arial"/>
        </w:rPr>
        <w:t>earmarked in</w:t>
      </w:r>
      <w:r w:rsidRPr="00264768">
        <w:rPr>
          <w:rFonts w:cs="Arial"/>
        </w:rPr>
        <w:t xml:space="preserve"> Contingency</w:t>
      </w:r>
      <w:r w:rsidR="00E55FF8">
        <w:rPr>
          <w:rFonts w:cs="Arial"/>
        </w:rPr>
        <w:t>.</w:t>
      </w:r>
    </w:p>
    <w:p w14:paraId="24807981" w14:textId="77777777" w:rsidR="00D2630D" w:rsidRPr="00264768" w:rsidRDefault="00D2630D" w:rsidP="000A13C3">
      <w:pPr>
        <w:jc w:val="both"/>
        <w:rPr>
          <w:rFonts w:cs="Arial"/>
        </w:rPr>
      </w:pPr>
    </w:p>
    <w:p w14:paraId="0B59A701" w14:textId="77777777" w:rsidR="00C4285E" w:rsidRPr="00264768" w:rsidRDefault="00147B55" w:rsidP="00C4285E">
      <w:pPr>
        <w:jc w:val="both"/>
        <w:rPr>
          <w:rFonts w:cs="Arial"/>
          <w:b/>
          <w:u w:val="single"/>
        </w:rPr>
      </w:pPr>
      <w:r w:rsidRPr="00264768">
        <w:rPr>
          <w:rFonts w:cs="Arial"/>
          <w:b/>
          <w:u w:val="single"/>
        </w:rPr>
        <w:t>Mainstream Schools Annual Grant 2023/24</w:t>
      </w:r>
    </w:p>
    <w:p w14:paraId="096898D9" w14:textId="77777777" w:rsidR="00C4285E" w:rsidRPr="00264768" w:rsidRDefault="00147B55" w:rsidP="00C4285E">
      <w:pPr>
        <w:jc w:val="both"/>
        <w:rPr>
          <w:rFonts w:cs="Arial"/>
          <w:bCs/>
        </w:rPr>
      </w:pPr>
      <w:r w:rsidRPr="00264768">
        <w:rPr>
          <w:rFonts w:cs="Arial"/>
          <w:bCs/>
        </w:rPr>
        <w:t>In 2023 to 2024 financial year, mainstream schools will be allocated additional funding through the mainstream school's additional grant (MSAG) 2023 to 2024. This is in addition to schools’ allocations through the schools national funding formula</w:t>
      </w:r>
      <w:r w:rsidR="00E55FF8">
        <w:rPr>
          <w:rFonts w:cs="Arial"/>
          <w:bCs/>
        </w:rPr>
        <w:t>.</w:t>
      </w:r>
    </w:p>
    <w:p w14:paraId="7CD8C894" w14:textId="77777777" w:rsidR="009D0CDA" w:rsidRDefault="009D0CDA" w:rsidP="00C4285E">
      <w:pPr>
        <w:jc w:val="both"/>
        <w:rPr>
          <w:rFonts w:cs="Arial"/>
          <w:bCs/>
        </w:rPr>
      </w:pPr>
    </w:p>
    <w:p w14:paraId="35D1057E" w14:textId="34A01880" w:rsidR="002B2652" w:rsidRDefault="00147B55" w:rsidP="00C4285E">
      <w:pPr>
        <w:jc w:val="both"/>
        <w:rPr>
          <w:rFonts w:cs="Arial"/>
          <w:bCs/>
        </w:rPr>
      </w:pPr>
      <w:r w:rsidRPr="00264768">
        <w:rPr>
          <w:rFonts w:cs="Arial"/>
          <w:bCs/>
        </w:rPr>
        <w:t>The MSAG will allocate funding to state-funded mainstream schools only</w:t>
      </w:r>
      <w:r w:rsidR="00E55FF8">
        <w:rPr>
          <w:rFonts w:cs="Arial"/>
          <w:bCs/>
        </w:rPr>
        <w:t>.</w:t>
      </w:r>
    </w:p>
    <w:p w14:paraId="2ECC71F0" w14:textId="77777777" w:rsidR="00E55FF8" w:rsidRPr="00264768" w:rsidRDefault="00E55FF8" w:rsidP="00C4285E">
      <w:pPr>
        <w:jc w:val="both"/>
        <w:rPr>
          <w:rFonts w:cs="Arial"/>
          <w:bCs/>
        </w:rPr>
      </w:pPr>
    </w:p>
    <w:p w14:paraId="743BE2BF" w14:textId="77777777" w:rsidR="002B2652" w:rsidRPr="00264768" w:rsidRDefault="00147B55" w:rsidP="00C4285E">
      <w:pPr>
        <w:jc w:val="both"/>
        <w:rPr>
          <w:rFonts w:cs="Arial"/>
          <w:bCs/>
        </w:rPr>
      </w:pPr>
      <w:r w:rsidRPr="00264768">
        <w:rPr>
          <w:rFonts w:cs="Arial"/>
        </w:rPr>
        <w:t xml:space="preserve">The county council will receive the individual school allocations for maintained schools and be expected to passport the funding to the relevant schools in full. The Education and Skills Funding Agency will pay Lancashire academies directly. </w:t>
      </w:r>
    </w:p>
    <w:p w14:paraId="38769C11" w14:textId="77777777" w:rsidR="00C4285E" w:rsidRPr="00264768" w:rsidRDefault="00C4285E" w:rsidP="00C4285E">
      <w:pPr>
        <w:jc w:val="both"/>
        <w:rPr>
          <w:rFonts w:cs="Arial"/>
          <w:bCs/>
        </w:rPr>
      </w:pPr>
    </w:p>
    <w:p w14:paraId="394E1A8F" w14:textId="77777777" w:rsidR="00C4285E" w:rsidRPr="00264768" w:rsidRDefault="00147B55" w:rsidP="00C4285E">
      <w:pPr>
        <w:jc w:val="both"/>
        <w:rPr>
          <w:rFonts w:cs="Arial"/>
          <w:bCs/>
        </w:rPr>
      </w:pPr>
      <w:r w:rsidRPr="00264768">
        <w:rPr>
          <w:rFonts w:cs="Arial"/>
          <w:bCs/>
        </w:rPr>
        <w:t>School-level allocations of the MSAG for the full 2023 to 2024 financial year will be published in May 2023.</w:t>
      </w:r>
    </w:p>
    <w:p w14:paraId="045DA663" w14:textId="77777777" w:rsidR="00324F69" w:rsidRPr="00264768" w:rsidRDefault="00324F69" w:rsidP="006E6F03">
      <w:pPr>
        <w:jc w:val="both"/>
        <w:rPr>
          <w:rFonts w:cs="Arial"/>
        </w:rPr>
      </w:pPr>
    </w:p>
    <w:p w14:paraId="17C4CD8E" w14:textId="77777777" w:rsidR="003E7F0F" w:rsidRPr="00264768" w:rsidRDefault="003E7F0F" w:rsidP="003E7F0F">
      <w:pPr>
        <w:jc w:val="both"/>
        <w:rPr>
          <w:rFonts w:cs="Arial"/>
        </w:rPr>
      </w:pPr>
    </w:p>
    <w:sectPr w:rsidR="003E7F0F" w:rsidRPr="00264768" w:rsidSect="00E740C8">
      <w:footerReference w:type="default" r:id="rId8"/>
      <w:pgSz w:w="11906" w:h="16838"/>
      <w:pgMar w:top="1440" w:right="11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91CE" w14:textId="77777777" w:rsidR="00ED4E1A" w:rsidRDefault="00147B55">
      <w:r>
        <w:separator/>
      </w:r>
    </w:p>
  </w:endnote>
  <w:endnote w:type="continuationSeparator" w:id="0">
    <w:p w14:paraId="6996BD3A" w14:textId="77777777" w:rsidR="00ED4E1A" w:rsidRDefault="0014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1804"/>
      <w:docPartObj>
        <w:docPartGallery w:val="Page Numbers (Bottom of Page)"/>
        <w:docPartUnique/>
      </w:docPartObj>
    </w:sdtPr>
    <w:sdtEndPr>
      <w:rPr>
        <w:noProof/>
      </w:rPr>
    </w:sdtEndPr>
    <w:sdtContent>
      <w:p w14:paraId="5A8A2A7C" w14:textId="77777777" w:rsidR="005F19D9" w:rsidRDefault="009849A8">
        <w:pPr>
          <w:pStyle w:val="Footer"/>
          <w:jc w:val="center"/>
        </w:pPr>
      </w:p>
    </w:sdtContent>
  </w:sdt>
  <w:p w14:paraId="018CBED4" w14:textId="77777777" w:rsidR="005F19D9" w:rsidRDefault="005F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6632" w14:textId="77777777" w:rsidR="00ED4E1A" w:rsidRDefault="00147B55">
      <w:r>
        <w:separator/>
      </w:r>
    </w:p>
  </w:footnote>
  <w:footnote w:type="continuationSeparator" w:id="0">
    <w:p w14:paraId="2683D020" w14:textId="77777777" w:rsidR="00ED4E1A" w:rsidRDefault="0014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4E3"/>
    <w:multiLevelType w:val="hybridMultilevel"/>
    <w:tmpl w:val="42621946"/>
    <w:lvl w:ilvl="0" w:tplc="1516755A">
      <w:start w:val="1"/>
      <w:numFmt w:val="bullet"/>
      <w:lvlText w:val=""/>
      <w:lvlJc w:val="left"/>
      <w:pPr>
        <w:ind w:left="720" w:hanging="360"/>
      </w:pPr>
      <w:rPr>
        <w:rFonts w:ascii="Symbol" w:hAnsi="Symbol" w:hint="default"/>
      </w:rPr>
    </w:lvl>
    <w:lvl w:ilvl="1" w:tplc="7B1A2AC0" w:tentative="1">
      <w:start w:val="1"/>
      <w:numFmt w:val="bullet"/>
      <w:lvlText w:val="o"/>
      <w:lvlJc w:val="left"/>
      <w:pPr>
        <w:ind w:left="1440" w:hanging="360"/>
      </w:pPr>
      <w:rPr>
        <w:rFonts w:ascii="Courier New" w:hAnsi="Courier New" w:cs="Courier New" w:hint="default"/>
      </w:rPr>
    </w:lvl>
    <w:lvl w:ilvl="2" w:tplc="972E2B48" w:tentative="1">
      <w:start w:val="1"/>
      <w:numFmt w:val="bullet"/>
      <w:lvlText w:val=""/>
      <w:lvlJc w:val="left"/>
      <w:pPr>
        <w:ind w:left="2160" w:hanging="360"/>
      </w:pPr>
      <w:rPr>
        <w:rFonts w:ascii="Wingdings" w:hAnsi="Wingdings" w:hint="default"/>
      </w:rPr>
    </w:lvl>
    <w:lvl w:ilvl="3" w:tplc="EC508242" w:tentative="1">
      <w:start w:val="1"/>
      <w:numFmt w:val="bullet"/>
      <w:lvlText w:val=""/>
      <w:lvlJc w:val="left"/>
      <w:pPr>
        <w:ind w:left="2880" w:hanging="360"/>
      </w:pPr>
      <w:rPr>
        <w:rFonts w:ascii="Symbol" w:hAnsi="Symbol" w:hint="default"/>
      </w:rPr>
    </w:lvl>
    <w:lvl w:ilvl="4" w:tplc="AF247CCC" w:tentative="1">
      <w:start w:val="1"/>
      <w:numFmt w:val="bullet"/>
      <w:lvlText w:val="o"/>
      <w:lvlJc w:val="left"/>
      <w:pPr>
        <w:ind w:left="3600" w:hanging="360"/>
      </w:pPr>
      <w:rPr>
        <w:rFonts w:ascii="Courier New" w:hAnsi="Courier New" w:cs="Courier New" w:hint="default"/>
      </w:rPr>
    </w:lvl>
    <w:lvl w:ilvl="5" w:tplc="05888A10" w:tentative="1">
      <w:start w:val="1"/>
      <w:numFmt w:val="bullet"/>
      <w:lvlText w:val=""/>
      <w:lvlJc w:val="left"/>
      <w:pPr>
        <w:ind w:left="4320" w:hanging="360"/>
      </w:pPr>
      <w:rPr>
        <w:rFonts w:ascii="Wingdings" w:hAnsi="Wingdings" w:hint="default"/>
      </w:rPr>
    </w:lvl>
    <w:lvl w:ilvl="6" w:tplc="294805B0" w:tentative="1">
      <w:start w:val="1"/>
      <w:numFmt w:val="bullet"/>
      <w:lvlText w:val=""/>
      <w:lvlJc w:val="left"/>
      <w:pPr>
        <w:ind w:left="5040" w:hanging="360"/>
      </w:pPr>
      <w:rPr>
        <w:rFonts w:ascii="Symbol" w:hAnsi="Symbol" w:hint="default"/>
      </w:rPr>
    </w:lvl>
    <w:lvl w:ilvl="7" w:tplc="703627E8" w:tentative="1">
      <w:start w:val="1"/>
      <w:numFmt w:val="bullet"/>
      <w:lvlText w:val="o"/>
      <w:lvlJc w:val="left"/>
      <w:pPr>
        <w:ind w:left="5760" w:hanging="360"/>
      </w:pPr>
      <w:rPr>
        <w:rFonts w:ascii="Courier New" w:hAnsi="Courier New" w:cs="Courier New" w:hint="default"/>
      </w:rPr>
    </w:lvl>
    <w:lvl w:ilvl="8" w:tplc="5CA4628E" w:tentative="1">
      <w:start w:val="1"/>
      <w:numFmt w:val="bullet"/>
      <w:lvlText w:val=""/>
      <w:lvlJc w:val="left"/>
      <w:pPr>
        <w:ind w:left="6480" w:hanging="360"/>
      </w:pPr>
      <w:rPr>
        <w:rFonts w:ascii="Wingdings" w:hAnsi="Wingdings" w:hint="default"/>
      </w:rPr>
    </w:lvl>
  </w:abstractNum>
  <w:abstractNum w:abstractNumId="1" w15:restartNumberingAfterBreak="0">
    <w:nsid w:val="0987272D"/>
    <w:multiLevelType w:val="hybridMultilevel"/>
    <w:tmpl w:val="5BA684F4"/>
    <w:lvl w:ilvl="0" w:tplc="4FEA239E">
      <w:start w:val="1"/>
      <w:numFmt w:val="bullet"/>
      <w:lvlText w:val=""/>
      <w:lvlJc w:val="left"/>
      <w:pPr>
        <w:ind w:left="720" w:hanging="360"/>
      </w:pPr>
      <w:rPr>
        <w:rFonts w:ascii="Symbol" w:hAnsi="Symbol" w:hint="default"/>
      </w:rPr>
    </w:lvl>
    <w:lvl w:ilvl="1" w:tplc="C6A41A02" w:tentative="1">
      <w:start w:val="1"/>
      <w:numFmt w:val="bullet"/>
      <w:lvlText w:val="o"/>
      <w:lvlJc w:val="left"/>
      <w:pPr>
        <w:ind w:left="1440" w:hanging="360"/>
      </w:pPr>
      <w:rPr>
        <w:rFonts w:ascii="Courier New" w:hAnsi="Courier New" w:cs="Courier New" w:hint="default"/>
      </w:rPr>
    </w:lvl>
    <w:lvl w:ilvl="2" w:tplc="1D48D230" w:tentative="1">
      <w:start w:val="1"/>
      <w:numFmt w:val="bullet"/>
      <w:lvlText w:val=""/>
      <w:lvlJc w:val="left"/>
      <w:pPr>
        <w:ind w:left="2160" w:hanging="360"/>
      </w:pPr>
      <w:rPr>
        <w:rFonts w:ascii="Wingdings" w:hAnsi="Wingdings" w:hint="default"/>
      </w:rPr>
    </w:lvl>
    <w:lvl w:ilvl="3" w:tplc="2608466E" w:tentative="1">
      <w:start w:val="1"/>
      <w:numFmt w:val="bullet"/>
      <w:lvlText w:val=""/>
      <w:lvlJc w:val="left"/>
      <w:pPr>
        <w:ind w:left="2880" w:hanging="360"/>
      </w:pPr>
      <w:rPr>
        <w:rFonts w:ascii="Symbol" w:hAnsi="Symbol" w:hint="default"/>
      </w:rPr>
    </w:lvl>
    <w:lvl w:ilvl="4" w:tplc="42900564" w:tentative="1">
      <w:start w:val="1"/>
      <w:numFmt w:val="bullet"/>
      <w:lvlText w:val="o"/>
      <w:lvlJc w:val="left"/>
      <w:pPr>
        <w:ind w:left="3600" w:hanging="360"/>
      </w:pPr>
      <w:rPr>
        <w:rFonts w:ascii="Courier New" w:hAnsi="Courier New" w:cs="Courier New" w:hint="default"/>
      </w:rPr>
    </w:lvl>
    <w:lvl w:ilvl="5" w:tplc="229058EA" w:tentative="1">
      <w:start w:val="1"/>
      <w:numFmt w:val="bullet"/>
      <w:lvlText w:val=""/>
      <w:lvlJc w:val="left"/>
      <w:pPr>
        <w:ind w:left="4320" w:hanging="360"/>
      </w:pPr>
      <w:rPr>
        <w:rFonts w:ascii="Wingdings" w:hAnsi="Wingdings" w:hint="default"/>
      </w:rPr>
    </w:lvl>
    <w:lvl w:ilvl="6" w:tplc="A5F08402" w:tentative="1">
      <w:start w:val="1"/>
      <w:numFmt w:val="bullet"/>
      <w:lvlText w:val=""/>
      <w:lvlJc w:val="left"/>
      <w:pPr>
        <w:ind w:left="5040" w:hanging="360"/>
      </w:pPr>
      <w:rPr>
        <w:rFonts w:ascii="Symbol" w:hAnsi="Symbol" w:hint="default"/>
      </w:rPr>
    </w:lvl>
    <w:lvl w:ilvl="7" w:tplc="CEFC4FD0" w:tentative="1">
      <w:start w:val="1"/>
      <w:numFmt w:val="bullet"/>
      <w:lvlText w:val="o"/>
      <w:lvlJc w:val="left"/>
      <w:pPr>
        <w:ind w:left="5760" w:hanging="360"/>
      </w:pPr>
      <w:rPr>
        <w:rFonts w:ascii="Courier New" w:hAnsi="Courier New" w:cs="Courier New" w:hint="default"/>
      </w:rPr>
    </w:lvl>
    <w:lvl w:ilvl="8" w:tplc="4C2C9CCA" w:tentative="1">
      <w:start w:val="1"/>
      <w:numFmt w:val="bullet"/>
      <w:lvlText w:val=""/>
      <w:lvlJc w:val="left"/>
      <w:pPr>
        <w:ind w:left="6480" w:hanging="360"/>
      </w:pPr>
      <w:rPr>
        <w:rFonts w:ascii="Wingdings" w:hAnsi="Wingdings" w:hint="default"/>
      </w:rPr>
    </w:lvl>
  </w:abstractNum>
  <w:abstractNum w:abstractNumId="2" w15:restartNumberingAfterBreak="0">
    <w:nsid w:val="0B6132F8"/>
    <w:multiLevelType w:val="multilevel"/>
    <w:tmpl w:val="42F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D5FBC"/>
    <w:multiLevelType w:val="hybridMultilevel"/>
    <w:tmpl w:val="1744CCFA"/>
    <w:lvl w:ilvl="0" w:tplc="24ECD9F0">
      <w:start w:val="1"/>
      <w:numFmt w:val="bullet"/>
      <w:lvlText w:val=""/>
      <w:lvlJc w:val="left"/>
      <w:pPr>
        <w:tabs>
          <w:tab w:val="num" w:pos="720"/>
        </w:tabs>
        <w:ind w:left="720" w:hanging="360"/>
      </w:pPr>
      <w:rPr>
        <w:rFonts w:ascii="Symbol" w:hAnsi="Symbol" w:hint="default"/>
      </w:rPr>
    </w:lvl>
    <w:lvl w:ilvl="1" w:tplc="5AA4CD8E" w:tentative="1">
      <w:start w:val="1"/>
      <w:numFmt w:val="bullet"/>
      <w:lvlText w:val="o"/>
      <w:lvlJc w:val="left"/>
      <w:pPr>
        <w:ind w:left="1440" w:hanging="360"/>
      </w:pPr>
      <w:rPr>
        <w:rFonts w:ascii="Courier New" w:hAnsi="Courier New" w:cs="Courier New" w:hint="default"/>
      </w:rPr>
    </w:lvl>
    <w:lvl w:ilvl="2" w:tplc="5F66418E" w:tentative="1">
      <w:start w:val="1"/>
      <w:numFmt w:val="bullet"/>
      <w:lvlText w:val=""/>
      <w:lvlJc w:val="left"/>
      <w:pPr>
        <w:ind w:left="2160" w:hanging="360"/>
      </w:pPr>
      <w:rPr>
        <w:rFonts w:ascii="Wingdings" w:hAnsi="Wingdings" w:hint="default"/>
      </w:rPr>
    </w:lvl>
    <w:lvl w:ilvl="3" w:tplc="316E9DB0" w:tentative="1">
      <w:start w:val="1"/>
      <w:numFmt w:val="bullet"/>
      <w:lvlText w:val=""/>
      <w:lvlJc w:val="left"/>
      <w:pPr>
        <w:ind w:left="2880" w:hanging="360"/>
      </w:pPr>
      <w:rPr>
        <w:rFonts w:ascii="Symbol" w:hAnsi="Symbol" w:hint="default"/>
      </w:rPr>
    </w:lvl>
    <w:lvl w:ilvl="4" w:tplc="E61C71F8" w:tentative="1">
      <w:start w:val="1"/>
      <w:numFmt w:val="bullet"/>
      <w:lvlText w:val="o"/>
      <w:lvlJc w:val="left"/>
      <w:pPr>
        <w:ind w:left="3600" w:hanging="360"/>
      </w:pPr>
      <w:rPr>
        <w:rFonts w:ascii="Courier New" w:hAnsi="Courier New" w:cs="Courier New" w:hint="default"/>
      </w:rPr>
    </w:lvl>
    <w:lvl w:ilvl="5" w:tplc="995E3C34" w:tentative="1">
      <w:start w:val="1"/>
      <w:numFmt w:val="bullet"/>
      <w:lvlText w:val=""/>
      <w:lvlJc w:val="left"/>
      <w:pPr>
        <w:ind w:left="4320" w:hanging="360"/>
      </w:pPr>
      <w:rPr>
        <w:rFonts w:ascii="Wingdings" w:hAnsi="Wingdings" w:hint="default"/>
      </w:rPr>
    </w:lvl>
    <w:lvl w:ilvl="6" w:tplc="F65CABC0" w:tentative="1">
      <w:start w:val="1"/>
      <w:numFmt w:val="bullet"/>
      <w:lvlText w:val=""/>
      <w:lvlJc w:val="left"/>
      <w:pPr>
        <w:ind w:left="5040" w:hanging="360"/>
      </w:pPr>
      <w:rPr>
        <w:rFonts w:ascii="Symbol" w:hAnsi="Symbol" w:hint="default"/>
      </w:rPr>
    </w:lvl>
    <w:lvl w:ilvl="7" w:tplc="77824D36" w:tentative="1">
      <w:start w:val="1"/>
      <w:numFmt w:val="bullet"/>
      <w:lvlText w:val="o"/>
      <w:lvlJc w:val="left"/>
      <w:pPr>
        <w:ind w:left="5760" w:hanging="360"/>
      </w:pPr>
      <w:rPr>
        <w:rFonts w:ascii="Courier New" w:hAnsi="Courier New" w:cs="Courier New" w:hint="default"/>
      </w:rPr>
    </w:lvl>
    <w:lvl w:ilvl="8" w:tplc="9D52E69C" w:tentative="1">
      <w:start w:val="1"/>
      <w:numFmt w:val="bullet"/>
      <w:lvlText w:val=""/>
      <w:lvlJc w:val="left"/>
      <w:pPr>
        <w:ind w:left="6480" w:hanging="360"/>
      </w:pPr>
      <w:rPr>
        <w:rFonts w:ascii="Wingdings" w:hAnsi="Wingdings" w:hint="default"/>
      </w:rPr>
    </w:lvl>
  </w:abstractNum>
  <w:abstractNum w:abstractNumId="4" w15:restartNumberingAfterBreak="0">
    <w:nsid w:val="17A72724"/>
    <w:multiLevelType w:val="hybridMultilevel"/>
    <w:tmpl w:val="2ECA4144"/>
    <w:lvl w:ilvl="0" w:tplc="C5E2EFAC">
      <w:start w:val="1"/>
      <w:numFmt w:val="bullet"/>
      <w:lvlText w:val=""/>
      <w:lvlJc w:val="left"/>
      <w:pPr>
        <w:ind w:left="720" w:hanging="360"/>
      </w:pPr>
      <w:rPr>
        <w:rFonts w:ascii="Symbol" w:hAnsi="Symbol" w:hint="default"/>
      </w:rPr>
    </w:lvl>
    <w:lvl w:ilvl="1" w:tplc="520E785A">
      <w:start w:val="1"/>
      <w:numFmt w:val="bullet"/>
      <w:lvlText w:val="o"/>
      <w:lvlJc w:val="left"/>
      <w:pPr>
        <w:ind w:left="1440" w:hanging="360"/>
      </w:pPr>
      <w:rPr>
        <w:rFonts w:ascii="Courier New" w:hAnsi="Courier New" w:cs="Courier New" w:hint="default"/>
      </w:rPr>
    </w:lvl>
    <w:lvl w:ilvl="2" w:tplc="82706014">
      <w:start w:val="1"/>
      <w:numFmt w:val="bullet"/>
      <w:lvlText w:val=""/>
      <w:lvlJc w:val="left"/>
      <w:pPr>
        <w:ind w:left="2160" w:hanging="360"/>
      </w:pPr>
      <w:rPr>
        <w:rFonts w:ascii="Wingdings" w:hAnsi="Wingdings" w:hint="default"/>
      </w:rPr>
    </w:lvl>
    <w:lvl w:ilvl="3" w:tplc="7A4630AE" w:tentative="1">
      <w:start w:val="1"/>
      <w:numFmt w:val="bullet"/>
      <w:lvlText w:val=""/>
      <w:lvlJc w:val="left"/>
      <w:pPr>
        <w:ind w:left="2880" w:hanging="360"/>
      </w:pPr>
      <w:rPr>
        <w:rFonts w:ascii="Symbol" w:hAnsi="Symbol" w:hint="default"/>
      </w:rPr>
    </w:lvl>
    <w:lvl w:ilvl="4" w:tplc="E4669DAE" w:tentative="1">
      <w:start w:val="1"/>
      <w:numFmt w:val="bullet"/>
      <w:lvlText w:val="o"/>
      <w:lvlJc w:val="left"/>
      <w:pPr>
        <w:ind w:left="3600" w:hanging="360"/>
      </w:pPr>
      <w:rPr>
        <w:rFonts w:ascii="Courier New" w:hAnsi="Courier New" w:cs="Courier New" w:hint="default"/>
      </w:rPr>
    </w:lvl>
    <w:lvl w:ilvl="5" w:tplc="87CC178A" w:tentative="1">
      <w:start w:val="1"/>
      <w:numFmt w:val="bullet"/>
      <w:lvlText w:val=""/>
      <w:lvlJc w:val="left"/>
      <w:pPr>
        <w:ind w:left="4320" w:hanging="360"/>
      </w:pPr>
      <w:rPr>
        <w:rFonts w:ascii="Wingdings" w:hAnsi="Wingdings" w:hint="default"/>
      </w:rPr>
    </w:lvl>
    <w:lvl w:ilvl="6" w:tplc="4BA6878A" w:tentative="1">
      <w:start w:val="1"/>
      <w:numFmt w:val="bullet"/>
      <w:lvlText w:val=""/>
      <w:lvlJc w:val="left"/>
      <w:pPr>
        <w:ind w:left="5040" w:hanging="360"/>
      </w:pPr>
      <w:rPr>
        <w:rFonts w:ascii="Symbol" w:hAnsi="Symbol" w:hint="default"/>
      </w:rPr>
    </w:lvl>
    <w:lvl w:ilvl="7" w:tplc="32A0A7B2" w:tentative="1">
      <w:start w:val="1"/>
      <w:numFmt w:val="bullet"/>
      <w:lvlText w:val="o"/>
      <w:lvlJc w:val="left"/>
      <w:pPr>
        <w:ind w:left="5760" w:hanging="360"/>
      </w:pPr>
      <w:rPr>
        <w:rFonts w:ascii="Courier New" w:hAnsi="Courier New" w:cs="Courier New" w:hint="default"/>
      </w:rPr>
    </w:lvl>
    <w:lvl w:ilvl="8" w:tplc="E8A20FB0" w:tentative="1">
      <w:start w:val="1"/>
      <w:numFmt w:val="bullet"/>
      <w:lvlText w:val=""/>
      <w:lvlJc w:val="left"/>
      <w:pPr>
        <w:ind w:left="6480" w:hanging="360"/>
      </w:pPr>
      <w:rPr>
        <w:rFonts w:ascii="Wingdings" w:hAnsi="Wingdings" w:hint="default"/>
      </w:rPr>
    </w:lvl>
  </w:abstractNum>
  <w:abstractNum w:abstractNumId="5" w15:restartNumberingAfterBreak="0">
    <w:nsid w:val="1F2761B0"/>
    <w:multiLevelType w:val="hybridMultilevel"/>
    <w:tmpl w:val="B9161E12"/>
    <w:lvl w:ilvl="0" w:tplc="BF88611E">
      <w:start w:val="1"/>
      <w:numFmt w:val="bullet"/>
      <w:lvlText w:val=""/>
      <w:lvlJc w:val="left"/>
      <w:pPr>
        <w:ind w:left="720" w:hanging="360"/>
      </w:pPr>
      <w:rPr>
        <w:rFonts w:ascii="Symbol" w:hAnsi="Symbol" w:hint="default"/>
      </w:rPr>
    </w:lvl>
    <w:lvl w:ilvl="1" w:tplc="3B048B1A" w:tentative="1">
      <w:start w:val="1"/>
      <w:numFmt w:val="bullet"/>
      <w:lvlText w:val="o"/>
      <w:lvlJc w:val="left"/>
      <w:pPr>
        <w:ind w:left="1440" w:hanging="360"/>
      </w:pPr>
      <w:rPr>
        <w:rFonts w:ascii="Courier New" w:hAnsi="Courier New" w:cs="Courier New" w:hint="default"/>
      </w:rPr>
    </w:lvl>
    <w:lvl w:ilvl="2" w:tplc="C99E4888" w:tentative="1">
      <w:start w:val="1"/>
      <w:numFmt w:val="bullet"/>
      <w:lvlText w:val=""/>
      <w:lvlJc w:val="left"/>
      <w:pPr>
        <w:ind w:left="2160" w:hanging="360"/>
      </w:pPr>
      <w:rPr>
        <w:rFonts w:ascii="Wingdings" w:hAnsi="Wingdings" w:hint="default"/>
      </w:rPr>
    </w:lvl>
    <w:lvl w:ilvl="3" w:tplc="08D41EE2" w:tentative="1">
      <w:start w:val="1"/>
      <w:numFmt w:val="bullet"/>
      <w:lvlText w:val=""/>
      <w:lvlJc w:val="left"/>
      <w:pPr>
        <w:ind w:left="2880" w:hanging="360"/>
      </w:pPr>
      <w:rPr>
        <w:rFonts w:ascii="Symbol" w:hAnsi="Symbol" w:hint="default"/>
      </w:rPr>
    </w:lvl>
    <w:lvl w:ilvl="4" w:tplc="07CEE840" w:tentative="1">
      <w:start w:val="1"/>
      <w:numFmt w:val="bullet"/>
      <w:lvlText w:val="o"/>
      <w:lvlJc w:val="left"/>
      <w:pPr>
        <w:ind w:left="3600" w:hanging="360"/>
      </w:pPr>
      <w:rPr>
        <w:rFonts w:ascii="Courier New" w:hAnsi="Courier New" w:cs="Courier New" w:hint="default"/>
      </w:rPr>
    </w:lvl>
    <w:lvl w:ilvl="5" w:tplc="6DD298B4" w:tentative="1">
      <w:start w:val="1"/>
      <w:numFmt w:val="bullet"/>
      <w:lvlText w:val=""/>
      <w:lvlJc w:val="left"/>
      <w:pPr>
        <w:ind w:left="4320" w:hanging="360"/>
      </w:pPr>
      <w:rPr>
        <w:rFonts w:ascii="Wingdings" w:hAnsi="Wingdings" w:hint="default"/>
      </w:rPr>
    </w:lvl>
    <w:lvl w:ilvl="6" w:tplc="D99EFC7C" w:tentative="1">
      <w:start w:val="1"/>
      <w:numFmt w:val="bullet"/>
      <w:lvlText w:val=""/>
      <w:lvlJc w:val="left"/>
      <w:pPr>
        <w:ind w:left="5040" w:hanging="360"/>
      </w:pPr>
      <w:rPr>
        <w:rFonts w:ascii="Symbol" w:hAnsi="Symbol" w:hint="default"/>
      </w:rPr>
    </w:lvl>
    <w:lvl w:ilvl="7" w:tplc="C0285F3C" w:tentative="1">
      <w:start w:val="1"/>
      <w:numFmt w:val="bullet"/>
      <w:lvlText w:val="o"/>
      <w:lvlJc w:val="left"/>
      <w:pPr>
        <w:ind w:left="5760" w:hanging="360"/>
      </w:pPr>
      <w:rPr>
        <w:rFonts w:ascii="Courier New" w:hAnsi="Courier New" w:cs="Courier New" w:hint="default"/>
      </w:rPr>
    </w:lvl>
    <w:lvl w:ilvl="8" w:tplc="1F62668E" w:tentative="1">
      <w:start w:val="1"/>
      <w:numFmt w:val="bullet"/>
      <w:lvlText w:val=""/>
      <w:lvlJc w:val="left"/>
      <w:pPr>
        <w:ind w:left="6480" w:hanging="360"/>
      </w:pPr>
      <w:rPr>
        <w:rFonts w:ascii="Wingdings" w:hAnsi="Wingdings" w:hint="default"/>
      </w:rPr>
    </w:lvl>
  </w:abstractNum>
  <w:abstractNum w:abstractNumId="6" w15:restartNumberingAfterBreak="0">
    <w:nsid w:val="3346406F"/>
    <w:multiLevelType w:val="hybridMultilevel"/>
    <w:tmpl w:val="283A7FEA"/>
    <w:lvl w:ilvl="0" w:tplc="3708BF60">
      <w:start w:val="1"/>
      <w:numFmt w:val="bullet"/>
      <w:lvlText w:val=""/>
      <w:lvlJc w:val="left"/>
      <w:pPr>
        <w:ind w:left="720" w:hanging="360"/>
      </w:pPr>
      <w:rPr>
        <w:rFonts w:ascii="Symbol" w:hAnsi="Symbol" w:hint="default"/>
      </w:rPr>
    </w:lvl>
    <w:lvl w:ilvl="1" w:tplc="5D948ED4">
      <w:start w:val="1"/>
      <w:numFmt w:val="bullet"/>
      <w:lvlText w:val="o"/>
      <w:lvlJc w:val="left"/>
      <w:pPr>
        <w:ind w:left="1440" w:hanging="360"/>
      </w:pPr>
      <w:rPr>
        <w:rFonts w:ascii="Courier New" w:hAnsi="Courier New" w:cs="Courier New" w:hint="default"/>
      </w:rPr>
    </w:lvl>
    <w:lvl w:ilvl="2" w:tplc="E1A2BA2A" w:tentative="1">
      <w:start w:val="1"/>
      <w:numFmt w:val="bullet"/>
      <w:lvlText w:val=""/>
      <w:lvlJc w:val="left"/>
      <w:pPr>
        <w:ind w:left="2160" w:hanging="360"/>
      </w:pPr>
      <w:rPr>
        <w:rFonts w:ascii="Wingdings" w:hAnsi="Wingdings" w:hint="default"/>
      </w:rPr>
    </w:lvl>
    <w:lvl w:ilvl="3" w:tplc="562C3FEC" w:tentative="1">
      <w:start w:val="1"/>
      <w:numFmt w:val="bullet"/>
      <w:lvlText w:val=""/>
      <w:lvlJc w:val="left"/>
      <w:pPr>
        <w:ind w:left="2880" w:hanging="360"/>
      </w:pPr>
      <w:rPr>
        <w:rFonts w:ascii="Symbol" w:hAnsi="Symbol" w:hint="default"/>
      </w:rPr>
    </w:lvl>
    <w:lvl w:ilvl="4" w:tplc="AF34E000" w:tentative="1">
      <w:start w:val="1"/>
      <w:numFmt w:val="bullet"/>
      <w:lvlText w:val="o"/>
      <w:lvlJc w:val="left"/>
      <w:pPr>
        <w:ind w:left="3600" w:hanging="360"/>
      </w:pPr>
      <w:rPr>
        <w:rFonts w:ascii="Courier New" w:hAnsi="Courier New" w:cs="Courier New" w:hint="default"/>
      </w:rPr>
    </w:lvl>
    <w:lvl w:ilvl="5" w:tplc="10981BDE" w:tentative="1">
      <w:start w:val="1"/>
      <w:numFmt w:val="bullet"/>
      <w:lvlText w:val=""/>
      <w:lvlJc w:val="left"/>
      <w:pPr>
        <w:ind w:left="4320" w:hanging="360"/>
      </w:pPr>
      <w:rPr>
        <w:rFonts w:ascii="Wingdings" w:hAnsi="Wingdings" w:hint="default"/>
      </w:rPr>
    </w:lvl>
    <w:lvl w:ilvl="6" w:tplc="6D78FCBC" w:tentative="1">
      <w:start w:val="1"/>
      <w:numFmt w:val="bullet"/>
      <w:lvlText w:val=""/>
      <w:lvlJc w:val="left"/>
      <w:pPr>
        <w:ind w:left="5040" w:hanging="360"/>
      </w:pPr>
      <w:rPr>
        <w:rFonts w:ascii="Symbol" w:hAnsi="Symbol" w:hint="default"/>
      </w:rPr>
    </w:lvl>
    <w:lvl w:ilvl="7" w:tplc="7D34C23C" w:tentative="1">
      <w:start w:val="1"/>
      <w:numFmt w:val="bullet"/>
      <w:lvlText w:val="o"/>
      <w:lvlJc w:val="left"/>
      <w:pPr>
        <w:ind w:left="5760" w:hanging="360"/>
      </w:pPr>
      <w:rPr>
        <w:rFonts w:ascii="Courier New" w:hAnsi="Courier New" w:cs="Courier New" w:hint="default"/>
      </w:rPr>
    </w:lvl>
    <w:lvl w:ilvl="8" w:tplc="239C6874" w:tentative="1">
      <w:start w:val="1"/>
      <w:numFmt w:val="bullet"/>
      <w:lvlText w:val=""/>
      <w:lvlJc w:val="left"/>
      <w:pPr>
        <w:ind w:left="6480" w:hanging="360"/>
      </w:pPr>
      <w:rPr>
        <w:rFonts w:ascii="Wingdings" w:hAnsi="Wingdings" w:hint="default"/>
      </w:rPr>
    </w:lvl>
  </w:abstractNum>
  <w:abstractNum w:abstractNumId="7" w15:restartNumberingAfterBreak="0">
    <w:nsid w:val="371F6D14"/>
    <w:multiLevelType w:val="hybridMultilevel"/>
    <w:tmpl w:val="E3B66F66"/>
    <w:lvl w:ilvl="0" w:tplc="33D02106">
      <w:start w:val="1"/>
      <w:numFmt w:val="bullet"/>
      <w:lvlText w:val=""/>
      <w:lvlJc w:val="left"/>
      <w:pPr>
        <w:ind w:left="360" w:hanging="360"/>
      </w:pPr>
      <w:rPr>
        <w:rFonts w:ascii="Symbol" w:hAnsi="Symbol" w:hint="default"/>
      </w:rPr>
    </w:lvl>
    <w:lvl w:ilvl="1" w:tplc="6360E592">
      <w:start w:val="1"/>
      <w:numFmt w:val="bullet"/>
      <w:lvlText w:val="o"/>
      <w:lvlJc w:val="left"/>
      <w:pPr>
        <w:ind w:left="1080" w:hanging="360"/>
      </w:pPr>
      <w:rPr>
        <w:rFonts w:ascii="Courier New" w:hAnsi="Courier New" w:cs="Courier New" w:hint="default"/>
      </w:rPr>
    </w:lvl>
    <w:lvl w:ilvl="2" w:tplc="B91E4F02">
      <w:start w:val="1"/>
      <w:numFmt w:val="bullet"/>
      <w:lvlText w:val=""/>
      <w:lvlJc w:val="left"/>
      <w:pPr>
        <w:ind w:left="1800" w:hanging="360"/>
      </w:pPr>
      <w:rPr>
        <w:rFonts w:ascii="Wingdings" w:hAnsi="Wingdings" w:hint="default"/>
      </w:rPr>
    </w:lvl>
    <w:lvl w:ilvl="3" w:tplc="63A66896" w:tentative="1">
      <w:start w:val="1"/>
      <w:numFmt w:val="bullet"/>
      <w:lvlText w:val=""/>
      <w:lvlJc w:val="left"/>
      <w:pPr>
        <w:ind w:left="2520" w:hanging="360"/>
      </w:pPr>
      <w:rPr>
        <w:rFonts w:ascii="Symbol" w:hAnsi="Symbol" w:hint="default"/>
      </w:rPr>
    </w:lvl>
    <w:lvl w:ilvl="4" w:tplc="D6807B84" w:tentative="1">
      <w:start w:val="1"/>
      <w:numFmt w:val="bullet"/>
      <w:lvlText w:val="o"/>
      <w:lvlJc w:val="left"/>
      <w:pPr>
        <w:ind w:left="3240" w:hanging="360"/>
      </w:pPr>
      <w:rPr>
        <w:rFonts w:ascii="Courier New" w:hAnsi="Courier New" w:cs="Courier New" w:hint="default"/>
      </w:rPr>
    </w:lvl>
    <w:lvl w:ilvl="5" w:tplc="D53E60B0" w:tentative="1">
      <w:start w:val="1"/>
      <w:numFmt w:val="bullet"/>
      <w:lvlText w:val=""/>
      <w:lvlJc w:val="left"/>
      <w:pPr>
        <w:ind w:left="3960" w:hanging="360"/>
      </w:pPr>
      <w:rPr>
        <w:rFonts w:ascii="Wingdings" w:hAnsi="Wingdings" w:hint="default"/>
      </w:rPr>
    </w:lvl>
    <w:lvl w:ilvl="6" w:tplc="D4BE27B4" w:tentative="1">
      <w:start w:val="1"/>
      <w:numFmt w:val="bullet"/>
      <w:lvlText w:val=""/>
      <w:lvlJc w:val="left"/>
      <w:pPr>
        <w:ind w:left="4680" w:hanging="360"/>
      </w:pPr>
      <w:rPr>
        <w:rFonts w:ascii="Symbol" w:hAnsi="Symbol" w:hint="default"/>
      </w:rPr>
    </w:lvl>
    <w:lvl w:ilvl="7" w:tplc="6BC28B18" w:tentative="1">
      <w:start w:val="1"/>
      <w:numFmt w:val="bullet"/>
      <w:lvlText w:val="o"/>
      <w:lvlJc w:val="left"/>
      <w:pPr>
        <w:ind w:left="5400" w:hanging="360"/>
      </w:pPr>
      <w:rPr>
        <w:rFonts w:ascii="Courier New" w:hAnsi="Courier New" w:cs="Courier New" w:hint="default"/>
      </w:rPr>
    </w:lvl>
    <w:lvl w:ilvl="8" w:tplc="BB1834D4" w:tentative="1">
      <w:start w:val="1"/>
      <w:numFmt w:val="bullet"/>
      <w:lvlText w:val=""/>
      <w:lvlJc w:val="left"/>
      <w:pPr>
        <w:ind w:left="6120" w:hanging="360"/>
      </w:pPr>
      <w:rPr>
        <w:rFonts w:ascii="Wingdings" w:hAnsi="Wingdings" w:hint="default"/>
      </w:rPr>
    </w:lvl>
  </w:abstractNum>
  <w:abstractNum w:abstractNumId="8" w15:restartNumberingAfterBreak="0">
    <w:nsid w:val="3B207038"/>
    <w:multiLevelType w:val="hybridMultilevel"/>
    <w:tmpl w:val="B98E2A32"/>
    <w:lvl w:ilvl="0" w:tplc="430ED94C">
      <w:start w:val="1"/>
      <w:numFmt w:val="bullet"/>
      <w:lvlText w:val=""/>
      <w:lvlJc w:val="left"/>
      <w:pPr>
        <w:ind w:left="720" w:hanging="360"/>
      </w:pPr>
      <w:rPr>
        <w:rFonts w:ascii="Symbol" w:hAnsi="Symbol" w:hint="default"/>
      </w:rPr>
    </w:lvl>
    <w:lvl w:ilvl="1" w:tplc="E8828262" w:tentative="1">
      <w:start w:val="1"/>
      <w:numFmt w:val="bullet"/>
      <w:lvlText w:val="o"/>
      <w:lvlJc w:val="left"/>
      <w:pPr>
        <w:ind w:left="1440" w:hanging="360"/>
      </w:pPr>
      <w:rPr>
        <w:rFonts w:ascii="Courier New" w:hAnsi="Courier New" w:cs="Courier New" w:hint="default"/>
      </w:rPr>
    </w:lvl>
    <w:lvl w:ilvl="2" w:tplc="5A3C3EEE" w:tentative="1">
      <w:start w:val="1"/>
      <w:numFmt w:val="bullet"/>
      <w:lvlText w:val=""/>
      <w:lvlJc w:val="left"/>
      <w:pPr>
        <w:ind w:left="2160" w:hanging="360"/>
      </w:pPr>
      <w:rPr>
        <w:rFonts w:ascii="Wingdings" w:hAnsi="Wingdings" w:hint="default"/>
      </w:rPr>
    </w:lvl>
    <w:lvl w:ilvl="3" w:tplc="AFAC0E36" w:tentative="1">
      <w:start w:val="1"/>
      <w:numFmt w:val="bullet"/>
      <w:lvlText w:val=""/>
      <w:lvlJc w:val="left"/>
      <w:pPr>
        <w:ind w:left="2880" w:hanging="360"/>
      </w:pPr>
      <w:rPr>
        <w:rFonts w:ascii="Symbol" w:hAnsi="Symbol" w:hint="default"/>
      </w:rPr>
    </w:lvl>
    <w:lvl w:ilvl="4" w:tplc="6F3CEA5E" w:tentative="1">
      <w:start w:val="1"/>
      <w:numFmt w:val="bullet"/>
      <w:lvlText w:val="o"/>
      <w:lvlJc w:val="left"/>
      <w:pPr>
        <w:ind w:left="3600" w:hanging="360"/>
      </w:pPr>
      <w:rPr>
        <w:rFonts w:ascii="Courier New" w:hAnsi="Courier New" w:cs="Courier New" w:hint="default"/>
      </w:rPr>
    </w:lvl>
    <w:lvl w:ilvl="5" w:tplc="AEC40092" w:tentative="1">
      <w:start w:val="1"/>
      <w:numFmt w:val="bullet"/>
      <w:lvlText w:val=""/>
      <w:lvlJc w:val="left"/>
      <w:pPr>
        <w:ind w:left="4320" w:hanging="360"/>
      </w:pPr>
      <w:rPr>
        <w:rFonts w:ascii="Wingdings" w:hAnsi="Wingdings" w:hint="default"/>
      </w:rPr>
    </w:lvl>
    <w:lvl w:ilvl="6" w:tplc="27ECF0A2" w:tentative="1">
      <w:start w:val="1"/>
      <w:numFmt w:val="bullet"/>
      <w:lvlText w:val=""/>
      <w:lvlJc w:val="left"/>
      <w:pPr>
        <w:ind w:left="5040" w:hanging="360"/>
      </w:pPr>
      <w:rPr>
        <w:rFonts w:ascii="Symbol" w:hAnsi="Symbol" w:hint="default"/>
      </w:rPr>
    </w:lvl>
    <w:lvl w:ilvl="7" w:tplc="40FC7A74" w:tentative="1">
      <w:start w:val="1"/>
      <w:numFmt w:val="bullet"/>
      <w:lvlText w:val="o"/>
      <w:lvlJc w:val="left"/>
      <w:pPr>
        <w:ind w:left="5760" w:hanging="360"/>
      </w:pPr>
      <w:rPr>
        <w:rFonts w:ascii="Courier New" w:hAnsi="Courier New" w:cs="Courier New" w:hint="default"/>
      </w:rPr>
    </w:lvl>
    <w:lvl w:ilvl="8" w:tplc="2F786540" w:tentative="1">
      <w:start w:val="1"/>
      <w:numFmt w:val="bullet"/>
      <w:lvlText w:val=""/>
      <w:lvlJc w:val="left"/>
      <w:pPr>
        <w:ind w:left="6480" w:hanging="360"/>
      </w:pPr>
      <w:rPr>
        <w:rFonts w:ascii="Wingdings" w:hAnsi="Wingdings" w:hint="default"/>
      </w:rPr>
    </w:lvl>
  </w:abstractNum>
  <w:abstractNum w:abstractNumId="9" w15:restartNumberingAfterBreak="0">
    <w:nsid w:val="3C542C22"/>
    <w:multiLevelType w:val="multilevel"/>
    <w:tmpl w:val="AFAA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821D72"/>
    <w:multiLevelType w:val="multilevel"/>
    <w:tmpl w:val="B0D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A3CC8"/>
    <w:multiLevelType w:val="multilevel"/>
    <w:tmpl w:val="2F6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0A0842"/>
    <w:multiLevelType w:val="hybridMultilevel"/>
    <w:tmpl w:val="D6D07DE6"/>
    <w:lvl w:ilvl="0" w:tplc="69C07092">
      <w:start w:val="1"/>
      <w:numFmt w:val="bullet"/>
      <w:lvlText w:val=""/>
      <w:lvlJc w:val="left"/>
      <w:pPr>
        <w:ind w:left="720" w:hanging="360"/>
      </w:pPr>
      <w:rPr>
        <w:rFonts w:ascii="Symbol" w:hAnsi="Symbol" w:hint="default"/>
      </w:rPr>
    </w:lvl>
    <w:lvl w:ilvl="1" w:tplc="0916F30E" w:tentative="1">
      <w:start w:val="1"/>
      <w:numFmt w:val="bullet"/>
      <w:lvlText w:val="o"/>
      <w:lvlJc w:val="left"/>
      <w:pPr>
        <w:ind w:left="1440" w:hanging="360"/>
      </w:pPr>
      <w:rPr>
        <w:rFonts w:ascii="Courier New" w:hAnsi="Courier New" w:cs="Courier New" w:hint="default"/>
      </w:rPr>
    </w:lvl>
    <w:lvl w:ilvl="2" w:tplc="12A6E47A" w:tentative="1">
      <w:start w:val="1"/>
      <w:numFmt w:val="bullet"/>
      <w:lvlText w:val=""/>
      <w:lvlJc w:val="left"/>
      <w:pPr>
        <w:ind w:left="2160" w:hanging="360"/>
      </w:pPr>
      <w:rPr>
        <w:rFonts w:ascii="Wingdings" w:hAnsi="Wingdings" w:hint="default"/>
      </w:rPr>
    </w:lvl>
    <w:lvl w:ilvl="3" w:tplc="A8BCBCC8" w:tentative="1">
      <w:start w:val="1"/>
      <w:numFmt w:val="bullet"/>
      <w:lvlText w:val=""/>
      <w:lvlJc w:val="left"/>
      <w:pPr>
        <w:ind w:left="2880" w:hanging="360"/>
      </w:pPr>
      <w:rPr>
        <w:rFonts w:ascii="Symbol" w:hAnsi="Symbol" w:hint="default"/>
      </w:rPr>
    </w:lvl>
    <w:lvl w:ilvl="4" w:tplc="F4A4F3F4" w:tentative="1">
      <w:start w:val="1"/>
      <w:numFmt w:val="bullet"/>
      <w:lvlText w:val="o"/>
      <w:lvlJc w:val="left"/>
      <w:pPr>
        <w:ind w:left="3600" w:hanging="360"/>
      </w:pPr>
      <w:rPr>
        <w:rFonts w:ascii="Courier New" w:hAnsi="Courier New" w:cs="Courier New" w:hint="default"/>
      </w:rPr>
    </w:lvl>
    <w:lvl w:ilvl="5" w:tplc="7E142D94" w:tentative="1">
      <w:start w:val="1"/>
      <w:numFmt w:val="bullet"/>
      <w:lvlText w:val=""/>
      <w:lvlJc w:val="left"/>
      <w:pPr>
        <w:ind w:left="4320" w:hanging="360"/>
      </w:pPr>
      <w:rPr>
        <w:rFonts w:ascii="Wingdings" w:hAnsi="Wingdings" w:hint="default"/>
      </w:rPr>
    </w:lvl>
    <w:lvl w:ilvl="6" w:tplc="14DA6B3C" w:tentative="1">
      <w:start w:val="1"/>
      <w:numFmt w:val="bullet"/>
      <w:lvlText w:val=""/>
      <w:lvlJc w:val="left"/>
      <w:pPr>
        <w:ind w:left="5040" w:hanging="360"/>
      </w:pPr>
      <w:rPr>
        <w:rFonts w:ascii="Symbol" w:hAnsi="Symbol" w:hint="default"/>
      </w:rPr>
    </w:lvl>
    <w:lvl w:ilvl="7" w:tplc="4CD63FDA" w:tentative="1">
      <w:start w:val="1"/>
      <w:numFmt w:val="bullet"/>
      <w:lvlText w:val="o"/>
      <w:lvlJc w:val="left"/>
      <w:pPr>
        <w:ind w:left="5760" w:hanging="360"/>
      </w:pPr>
      <w:rPr>
        <w:rFonts w:ascii="Courier New" w:hAnsi="Courier New" w:cs="Courier New" w:hint="default"/>
      </w:rPr>
    </w:lvl>
    <w:lvl w:ilvl="8" w:tplc="1F58BD9E"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8F567486">
      <w:start w:val="1"/>
      <w:numFmt w:val="bullet"/>
      <w:pStyle w:val="DeptBullets"/>
      <w:lvlText w:val=""/>
      <w:lvlJc w:val="left"/>
      <w:pPr>
        <w:tabs>
          <w:tab w:val="num" w:pos="720"/>
        </w:tabs>
        <w:ind w:left="720" w:hanging="360"/>
      </w:pPr>
      <w:rPr>
        <w:rFonts w:ascii="Symbol" w:hAnsi="Symbol" w:hint="default"/>
      </w:rPr>
    </w:lvl>
    <w:lvl w:ilvl="1" w:tplc="D5D4B41E">
      <w:start w:val="1"/>
      <w:numFmt w:val="bullet"/>
      <w:lvlText w:val="o"/>
      <w:lvlJc w:val="left"/>
      <w:pPr>
        <w:tabs>
          <w:tab w:val="num" w:pos="1440"/>
        </w:tabs>
        <w:ind w:left="1440" w:hanging="360"/>
      </w:pPr>
      <w:rPr>
        <w:rFonts w:ascii="Courier New" w:hAnsi="Courier New" w:cs="Times New Roman" w:hint="default"/>
      </w:rPr>
    </w:lvl>
    <w:lvl w:ilvl="2" w:tplc="82DCD128">
      <w:start w:val="1"/>
      <w:numFmt w:val="bullet"/>
      <w:lvlText w:val=""/>
      <w:lvlJc w:val="left"/>
      <w:pPr>
        <w:tabs>
          <w:tab w:val="num" w:pos="2160"/>
        </w:tabs>
        <w:ind w:left="2160" w:hanging="360"/>
      </w:pPr>
      <w:rPr>
        <w:rFonts w:ascii="Marlett" w:hAnsi="Marlett" w:hint="default"/>
      </w:rPr>
    </w:lvl>
    <w:lvl w:ilvl="3" w:tplc="826499DC">
      <w:start w:val="1"/>
      <w:numFmt w:val="bullet"/>
      <w:lvlText w:val=""/>
      <w:lvlJc w:val="left"/>
      <w:pPr>
        <w:tabs>
          <w:tab w:val="num" w:pos="2880"/>
        </w:tabs>
        <w:ind w:left="2880" w:hanging="360"/>
      </w:pPr>
      <w:rPr>
        <w:rFonts w:ascii="Symbol" w:hAnsi="Symbol" w:hint="default"/>
      </w:rPr>
    </w:lvl>
    <w:lvl w:ilvl="4" w:tplc="1A64D332">
      <w:start w:val="1"/>
      <w:numFmt w:val="bullet"/>
      <w:lvlText w:val="o"/>
      <w:lvlJc w:val="left"/>
      <w:pPr>
        <w:tabs>
          <w:tab w:val="num" w:pos="3600"/>
        </w:tabs>
        <w:ind w:left="3600" w:hanging="360"/>
      </w:pPr>
      <w:rPr>
        <w:rFonts w:ascii="Courier New" w:hAnsi="Courier New" w:cs="Times New Roman" w:hint="default"/>
      </w:rPr>
    </w:lvl>
    <w:lvl w:ilvl="5" w:tplc="CEBA6512">
      <w:start w:val="1"/>
      <w:numFmt w:val="bullet"/>
      <w:lvlText w:val=""/>
      <w:lvlJc w:val="left"/>
      <w:pPr>
        <w:tabs>
          <w:tab w:val="num" w:pos="4320"/>
        </w:tabs>
        <w:ind w:left="4320" w:hanging="360"/>
      </w:pPr>
      <w:rPr>
        <w:rFonts w:ascii="Marlett" w:hAnsi="Marlett" w:hint="default"/>
      </w:rPr>
    </w:lvl>
    <w:lvl w:ilvl="6" w:tplc="DE76D3BA">
      <w:start w:val="1"/>
      <w:numFmt w:val="bullet"/>
      <w:lvlText w:val=""/>
      <w:lvlJc w:val="left"/>
      <w:pPr>
        <w:tabs>
          <w:tab w:val="num" w:pos="5040"/>
        </w:tabs>
        <w:ind w:left="5040" w:hanging="360"/>
      </w:pPr>
      <w:rPr>
        <w:rFonts w:ascii="Symbol" w:hAnsi="Symbol" w:hint="default"/>
      </w:rPr>
    </w:lvl>
    <w:lvl w:ilvl="7" w:tplc="04465BE8">
      <w:start w:val="1"/>
      <w:numFmt w:val="bullet"/>
      <w:lvlText w:val="o"/>
      <w:lvlJc w:val="left"/>
      <w:pPr>
        <w:tabs>
          <w:tab w:val="num" w:pos="5760"/>
        </w:tabs>
        <w:ind w:left="5760" w:hanging="360"/>
      </w:pPr>
      <w:rPr>
        <w:rFonts w:ascii="Courier New" w:hAnsi="Courier New" w:cs="Times New Roman" w:hint="default"/>
      </w:rPr>
    </w:lvl>
    <w:lvl w:ilvl="8" w:tplc="3E20D2CE">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1D5251A"/>
    <w:multiLevelType w:val="hybridMultilevel"/>
    <w:tmpl w:val="277AB80E"/>
    <w:lvl w:ilvl="0" w:tplc="AB08039A">
      <w:start w:val="1"/>
      <w:numFmt w:val="bullet"/>
      <w:lvlText w:val=""/>
      <w:lvlJc w:val="left"/>
      <w:pPr>
        <w:ind w:left="720" w:hanging="360"/>
      </w:pPr>
      <w:rPr>
        <w:rFonts w:ascii="Symbol" w:hAnsi="Symbol" w:hint="default"/>
      </w:rPr>
    </w:lvl>
    <w:lvl w:ilvl="1" w:tplc="9980442A" w:tentative="1">
      <w:start w:val="1"/>
      <w:numFmt w:val="bullet"/>
      <w:lvlText w:val="o"/>
      <w:lvlJc w:val="left"/>
      <w:pPr>
        <w:ind w:left="1440" w:hanging="360"/>
      </w:pPr>
      <w:rPr>
        <w:rFonts w:ascii="Courier New" w:hAnsi="Courier New" w:cs="Courier New" w:hint="default"/>
      </w:rPr>
    </w:lvl>
    <w:lvl w:ilvl="2" w:tplc="79E499F4" w:tentative="1">
      <w:start w:val="1"/>
      <w:numFmt w:val="bullet"/>
      <w:lvlText w:val=""/>
      <w:lvlJc w:val="left"/>
      <w:pPr>
        <w:ind w:left="2160" w:hanging="360"/>
      </w:pPr>
      <w:rPr>
        <w:rFonts w:ascii="Wingdings" w:hAnsi="Wingdings" w:hint="default"/>
      </w:rPr>
    </w:lvl>
    <w:lvl w:ilvl="3" w:tplc="AA807AFA" w:tentative="1">
      <w:start w:val="1"/>
      <w:numFmt w:val="bullet"/>
      <w:lvlText w:val=""/>
      <w:lvlJc w:val="left"/>
      <w:pPr>
        <w:ind w:left="2880" w:hanging="360"/>
      </w:pPr>
      <w:rPr>
        <w:rFonts w:ascii="Symbol" w:hAnsi="Symbol" w:hint="default"/>
      </w:rPr>
    </w:lvl>
    <w:lvl w:ilvl="4" w:tplc="51D86150" w:tentative="1">
      <w:start w:val="1"/>
      <w:numFmt w:val="bullet"/>
      <w:lvlText w:val="o"/>
      <w:lvlJc w:val="left"/>
      <w:pPr>
        <w:ind w:left="3600" w:hanging="360"/>
      </w:pPr>
      <w:rPr>
        <w:rFonts w:ascii="Courier New" w:hAnsi="Courier New" w:cs="Courier New" w:hint="default"/>
      </w:rPr>
    </w:lvl>
    <w:lvl w:ilvl="5" w:tplc="9FB46352" w:tentative="1">
      <w:start w:val="1"/>
      <w:numFmt w:val="bullet"/>
      <w:lvlText w:val=""/>
      <w:lvlJc w:val="left"/>
      <w:pPr>
        <w:ind w:left="4320" w:hanging="360"/>
      </w:pPr>
      <w:rPr>
        <w:rFonts w:ascii="Wingdings" w:hAnsi="Wingdings" w:hint="default"/>
      </w:rPr>
    </w:lvl>
    <w:lvl w:ilvl="6" w:tplc="C500030C" w:tentative="1">
      <w:start w:val="1"/>
      <w:numFmt w:val="bullet"/>
      <w:lvlText w:val=""/>
      <w:lvlJc w:val="left"/>
      <w:pPr>
        <w:ind w:left="5040" w:hanging="360"/>
      </w:pPr>
      <w:rPr>
        <w:rFonts w:ascii="Symbol" w:hAnsi="Symbol" w:hint="default"/>
      </w:rPr>
    </w:lvl>
    <w:lvl w:ilvl="7" w:tplc="2410C7DE" w:tentative="1">
      <w:start w:val="1"/>
      <w:numFmt w:val="bullet"/>
      <w:lvlText w:val="o"/>
      <w:lvlJc w:val="left"/>
      <w:pPr>
        <w:ind w:left="5760" w:hanging="360"/>
      </w:pPr>
      <w:rPr>
        <w:rFonts w:ascii="Courier New" w:hAnsi="Courier New" w:cs="Courier New" w:hint="default"/>
      </w:rPr>
    </w:lvl>
    <w:lvl w:ilvl="8" w:tplc="1442707E" w:tentative="1">
      <w:start w:val="1"/>
      <w:numFmt w:val="bullet"/>
      <w:lvlText w:val=""/>
      <w:lvlJc w:val="left"/>
      <w:pPr>
        <w:ind w:left="6480" w:hanging="360"/>
      </w:pPr>
      <w:rPr>
        <w:rFonts w:ascii="Wingdings" w:hAnsi="Wingdings" w:hint="default"/>
      </w:rPr>
    </w:lvl>
  </w:abstractNum>
  <w:abstractNum w:abstractNumId="15" w15:restartNumberingAfterBreak="0">
    <w:nsid w:val="51F152CD"/>
    <w:multiLevelType w:val="hybridMultilevel"/>
    <w:tmpl w:val="899A75E4"/>
    <w:lvl w:ilvl="0" w:tplc="CE86935A">
      <w:start w:val="1"/>
      <w:numFmt w:val="bullet"/>
      <w:lvlText w:val=""/>
      <w:lvlJc w:val="left"/>
      <w:pPr>
        <w:ind w:left="720" w:hanging="360"/>
      </w:pPr>
      <w:rPr>
        <w:rFonts w:ascii="Symbol" w:hAnsi="Symbol" w:hint="default"/>
      </w:rPr>
    </w:lvl>
    <w:lvl w:ilvl="1" w:tplc="5B7E5032" w:tentative="1">
      <w:start w:val="1"/>
      <w:numFmt w:val="bullet"/>
      <w:lvlText w:val="o"/>
      <w:lvlJc w:val="left"/>
      <w:pPr>
        <w:ind w:left="1440" w:hanging="360"/>
      </w:pPr>
      <w:rPr>
        <w:rFonts w:ascii="Courier New" w:hAnsi="Courier New" w:cs="Courier New" w:hint="default"/>
      </w:rPr>
    </w:lvl>
    <w:lvl w:ilvl="2" w:tplc="13F2A686" w:tentative="1">
      <w:start w:val="1"/>
      <w:numFmt w:val="bullet"/>
      <w:lvlText w:val=""/>
      <w:lvlJc w:val="left"/>
      <w:pPr>
        <w:ind w:left="2160" w:hanging="360"/>
      </w:pPr>
      <w:rPr>
        <w:rFonts w:ascii="Wingdings" w:hAnsi="Wingdings" w:hint="default"/>
      </w:rPr>
    </w:lvl>
    <w:lvl w:ilvl="3" w:tplc="154A01AC" w:tentative="1">
      <w:start w:val="1"/>
      <w:numFmt w:val="bullet"/>
      <w:lvlText w:val=""/>
      <w:lvlJc w:val="left"/>
      <w:pPr>
        <w:ind w:left="2880" w:hanging="360"/>
      </w:pPr>
      <w:rPr>
        <w:rFonts w:ascii="Symbol" w:hAnsi="Symbol" w:hint="default"/>
      </w:rPr>
    </w:lvl>
    <w:lvl w:ilvl="4" w:tplc="91C83900" w:tentative="1">
      <w:start w:val="1"/>
      <w:numFmt w:val="bullet"/>
      <w:lvlText w:val="o"/>
      <w:lvlJc w:val="left"/>
      <w:pPr>
        <w:ind w:left="3600" w:hanging="360"/>
      </w:pPr>
      <w:rPr>
        <w:rFonts w:ascii="Courier New" w:hAnsi="Courier New" w:cs="Courier New" w:hint="default"/>
      </w:rPr>
    </w:lvl>
    <w:lvl w:ilvl="5" w:tplc="32869524" w:tentative="1">
      <w:start w:val="1"/>
      <w:numFmt w:val="bullet"/>
      <w:lvlText w:val=""/>
      <w:lvlJc w:val="left"/>
      <w:pPr>
        <w:ind w:left="4320" w:hanging="360"/>
      </w:pPr>
      <w:rPr>
        <w:rFonts w:ascii="Wingdings" w:hAnsi="Wingdings" w:hint="default"/>
      </w:rPr>
    </w:lvl>
    <w:lvl w:ilvl="6" w:tplc="05E2EF58" w:tentative="1">
      <w:start w:val="1"/>
      <w:numFmt w:val="bullet"/>
      <w:lvlText w:val=""/>
      <w:lvlJc w:val="left"/>
      <w:pPr>
        <w:ind w:left="5040" w:hanging="360"/>
      </w:pPr>
      <w:rPr>
        <w:rFonts w:ascii="Symbol" w:hAnsi="Symbol" w:hint="default"/>
      </w:rPr>
    </w:lvl>
    <w:lvl w:ilvl="7" w:tplc="96A6EDD6" w:tentative="1">
      <w:start w:val="1"/>
      <w:numFmt w:val="bullet"/>
      <w:lvlText w:val="o"/>
      <w:lvlJc w:val="left"/>
      <w:pPr>
        <w:ind w:left="5760" w:hanging="360"/>
      </w:pPr>
      <w:rPr>
        <w:rFonts w:ascii="Courier New" w:hAnsi="Courier New" w:cs="Courier New" w:hint="default"/>
      </w:rPr>
    </w:lvl>
    <w:lvl w:ilvl="8" w:tplc="C7F8FDA0" w:tentative="1">
      <w:start w:val="1"/>
      <w:numFmt w:val="bullet"/>
      <w:lvlText w:val=""/>
      <w:lvlJc w:val="left"/>
      <w:pPr>
        <w:ind w:left="6480" w:hanging="360"/>
      </w:pPr>
      <w:rPr>
        <w:rFonts w:ascii="Wingdings" w:hAnsi="Wingdings" w:hint="default"/>
      </w:rPr>
    </w:lvl>
  </w:abstractNum>
  <w:abstractNum w:abstractNumId="16" w15:restartNumberingAfterBreak="0">
    <w:nsid w:val="576A3E7C"/>
    <w:multiLevelType w:val="multilevel"/>
    <w:tmpl w:val="9478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8D75B8"/>
    <w:multiLevelType w:val="hybridMultilevel"/>
    <w:tmpl w:val="DE86673C"/>
    <w:lvl w:ilvl="0" w:tplc="4C84EF14">
      <w:start w:val="1"/>
      <w:numFmt w:val="bullet"/>
      <w:lvlText w:val=""/>
      <w:lvlJc w:val="left"/>
      <w:pPr>
        <w:ind w:left="720" w:hanging="360"/>
      </w:pPr>
      <w:rPr>
        <w:rFonts w:ascii="Symbol" w:hAnsi="Symbol" w:hint="default"/>
      </w:rPr>
    </w:lvl>
    <w:lvl w:ilvl="1" w:tplc="8BE437EE" w:tentative="1">
      <w:start w:val="1"/>
      <w:numFmt w:val="bullet"/>
      <w:lvlText w:val="o"/>
      <w:lvlJc w:val="left"/>
      <w:pPr>
        <w:ind w:left="1440" w:hanging="360"/>
      </w:pPr>
      <w:rPr>
        <w:rFonts w:ascii="Courier New" w:hAnsi="Courier New" w:cs="Courier New" w:hint="default"/>
      </w:rPr>
    </w:lvl>
    <w:lvl w:ilvl="2" w:tplc="0BB6C1AC" w:tentative="1">
      <w:start w:val="1"/>
      <w:numFmt w:val="bullet"/>
      <w:lvlText w:val=""/>
      <w:lvlJc w:val="left"/>
      <w:pPr>
        <w:ind w:left="2160" w:hanging="360"/>
      </w:pPr>
      <w:rPr>
        <w:rFonts w:ascii="Wingdings" w:hAnsi="Wingdings" w:hint="default"/>
      </w:rPr>
    </w:lvl>
    <w:lvl w:ilvl="3" w:tplc="80ACCAAE" w:tentative="1">
      <w:start w:val="1"/>
      <w:numFmt w:val="bullet"/>
      <w:lvlText w:val=""/>
      <w:lvlJc w:val="left"/>
      <w:pPr>
        <w:ind w:left="2880" w:hanging="360"/>
      </w:pPr>
      <w:rPr>
        <w:rFonts w:ascii="Symbol" w:hAnsi="Symbol" w:hint="default"/>
      </w:rPr>
    </w:lvl>
    <w:lvl w:ilvl="4" w:tplc="2F7AE514" w:tentative="1">
      <w:start w:val="1"/>
      <w:numFmt w:val="bullet"/>
      <w:lvlText w:val="o"/>
      <w:lvlJc w:val="left"/>
      <w:pPr>
        <w:ind w:left="3600" w:hanging="360"/>
      </w:pPr>
      <w:rPr>
        <w:rFonts w:ascii="Courier New" w:hAnsi="Courier New" w:cs="Courier New" w:hint="default"/>
      </w:rPr>
    </w:lvl>
    <w:lvl w:ilvl="5" w:tplc="C1E60B8E" w:tentative="1">
      <w:start w:val="1"/>
      <w:numFmt w:val="bullet"/>
      <w:lvlText w:val=""/>
      <w:lvlJc w:val="left"/>
      <w:pPr>
        <w:ind w:left="4320" w:hanging="360"/>
      </w:pPr>
      <w:rPr>
        <w:rFonts w:ascii="Wingdings" w:hAnsi="Wingdings" w:hint="default"/>
      </w:rPr>
    </w:lvl>
    <w:lvl w:ilvl="6" w:tplc="9126F95A" w:tentative="1">
      <w:start w:val="1"/>
      <w:numFmt w:val="bullet"/>
      <w:lvlText w:val=""/>
      <w:lvlJc w:val="left"/>
      <w:pPr>
        <w:ind w:left="5040" w:hanging="360"/>
      </w:pPr>
      <w:rPr>
        <w:rFonts w:ascii="Symbol" w:hAnsi="Symbol" w:hint="default"/>
      </w:rPr>
    </w:lvl>
    <w:lvl w:ilvl="7" w:tplc="A244B2CE" w:tentative="1">
      <w:start w:val="1"/>
      <w:numFmt w:val="bullet"/>
      <w:lvlText w:val="o"/>
      <w:lvlJc w:val="left"/>
      <w:pPr>
        <w:ind w:left="5760" w:hanging="360"/>
      </w:pPr>
      <w:rPr>
        <w:rFonts w:ascii="Courier New" w:hAnsi="Courier New" w:cs="Courier New" w:hint="default"/>
      </w:rPr>
    </w:lvl>
    <w:lvl w:ilvl="8" w:tplc="F63A9D0A" w:tentative="1">
      <w:start w:val="1"/>
      <w:numFmt w:val="bullet"/>
      <w:lvlText w:val=""/>
      <w:lvlJc w:val="left"/>
      <w:pPr>
        <w:ind w:left="6480" w:hanging="360"/>
      </w:pPr>
      <w:rPr>
        <w:rFonts w:ascii="Wingdings" w:hAnsi="Wingdings" w:hint="default"/>
      </w:rPr>
    </w:lvl>
  </w:abstractNum>
  <w:abstractNum w:abstractNumId="18" w15:restartNumberingAfterBreak="0">
    <w:nsid w:val="63FD2045"/>
    <w:multiLevelType w:val="multilevel"/>
    <w:tmpl w:val="574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17142D"/>
    <w:multiLevelType w:val="hybridMultilevel"/>
    <w:tmpl w:val="806E64B6"/>
    <w:lvl w:ilvl="0" w:tplc="721AD7BC">
      <w:start w:val="1"/>
      <w:numFmt w:val="bullet"/>
      <w:lvlText w:val=""/>
      <w:lvlJc w:val="left"/>
      <w:pPr>
        <w:ind w:left="720" w:hanging="360"/>
      </w:pPr>
      <w:rPr>
        <w:rFonts w:ascii="Symbol" w:hAnsi="Symbol" w:hint="default"/>
      </w:rPr>
    </w:lvl>
    <w:lvl w:ilvl="1" w:tplc="03149040" w:tentative="1">
      <w:start w:val="1"/>
      <w:numFmt w:val="bullet"/>
      <w:lvlText w:val="o"/>
      <w:lvlJc w:val="left"/>
      <w:pPr>
        <w:ind w:left="1440" w:hanging="360"/>
      </w:pPr>
      <w:rPr>
        <w:rFonts w:ascii="Courier New" w:hAnsi="Courier New" w:cs="Courier New" w:hint="default"/>
      </w:rPr>
    </w:lvl>
    <w:lvl w:ilvl="2" w:tplc="669ABB22" w:tentative="1">
      <w:start w:val="1"/>
      <w:numFmt w:val="bullet"/>
      <w:lvlText w:val=""/>
      <w:lvlJc w:val="left"/>
      <w:pPr>
        <w:ind w:left="2160" w:hanging="360"/>
      </w:pPr>
      <w:rPr>
        <w:rFonts w:ascii="Wingdings" w:hAnsi="Wingdings" w:hint="default"/>
      </w:rPr>
    </w:lvl>
    <w:lvl w:ilvl="3" w:tplc="B9D8211A" w:tentative="1">
      <w:start w:val="1"/>
      <w:numFmt w:val="bullet"/>
      <w:lvlText w:val=""/>
      <w:lvlJc w:val="left"/>
      <w:pPr>
        <w:ind w:left="2880" w:hanging="360"/>
      </w:pPr>
      <w:rPr>
        <w:rFonts w:ascii="Symbol" w:hAnsi="Symbol" w:hint="default"/>
      </w:rPr>
    </w:lvl>
    <w:lvl w:ilvl="4" w:tplc="464C26F2" w:tentative="1">
      <w:start w:val="1"/>
      <w:numFmt w:val="bullet"/>
      <w:lvlText w:val="o"/>
      <w:lvlJc w:val="left"/>
      <w:pPr>
        <w:ind w:left="3600" w:hanging="360"/>
      </w:pPr>
      <w:rPr>
        <w:rFonts w:ascii="Courier New" w:hAnsi="Courier New" w:cs="Courier New" w:hint="default"/>
      </w:rPr>
    </w:lvl>
    <w:lvl w:ilvl="5" w:tplc="6CF692C8" w:tentative="1">
      <w:start w:val="1"/>
      <w:numFmt w:val="bullet"/>
      <w:lvlText w:val=""/>
      <w:lvlJc w:val="left"/>
      <w:pPr>
        <w:ind w:left="4320" w:hanging="360"/>
      </w:pPr>
      <w:rPr>
        <w:rFonts w:ascii="Wingdings" w:hAnsi="Wingdings" w:hint="default"/>
      </w:rPr>
    </w:lvl>
    <w:lvl w:ilvl="6" w:tplc="6812EA02" w:tentative="1">
      <w:start w:val="1"/>
      <w:numFmt w:val="bullet"/>
      <w:lvlText w:val=""/>
      <w:lvlJc w:val="left"/>
      <w:pPr>
        <w:ind w:left="5040" w:hanging="360"/>
      </w:pPr>
      <w:rPr>
        <w:rFonts w:ascii="Symbol" w:hAnsi="Symbol" w:hint="default"/>
      </w:rPr>
    </w:lvl>
    <w:lvl w:ilvl="7" w:tplc="E078138C" w:tentative="1">
      <w:start w:val="1"/>
      <w:numFmt w:val="bullet"/>
      <w:lvlText w:val="o"/>
      <w:lvlJc w:val="left"/>
      <w:pPr>
        <w:ind w:left="5760" w:hanging="360"/>
      </w:pPr>
      <w:rPr>
        <w:rFonts w:ascii="Courier New" w:hAnsi="Courier New" w:cs="Courier New" w:hint="default"/>
      </w:rPr>
    </w:lvl>
    <w:lvl w:ilvl="8" w:tplc="65FA9E5C" w:tentative="1">
      <w:start w:val="1"/>
      <w:numFmt w:val="bullet"/>
      <w:lvlText w:val=""/>
      <w:lvlJc w:val="left"/>
      <w:pPr>
        <w:ind w:left="6480" w:hanging="360"/>
      </w:pPr>
      <w:rPr>
        <w:rFonts w:ascii="Wingdings" w:hAnsi="Wingdings" w:hint="default"/>
      </w:rPr>
    </w:lvl>
  </w:abstractNum>
  <w:abstractNum w:abstractNumId="20" w15:restartNumberingAfterBreak="0">
    <w:nsid w:val="7186747E"/>
    <w:multiLevelType w:val="hybridMultilevel"/>
    <w:tmpl w:val="952097DA"/>
    <w:lvl w:ilvl="0" w:tplc="1B0CFFB2">
      <w:start w:val="1"/>
      <w:numFmt w:val="bullet"/>
      <w:lvlText w:val=""/>
      <w:lvlJc w:val="left"/>
      <w:pPr>
        <w:ind w:left="720" w:hanging="360"/>
      </w:pPr>
      <w:rPr>
        <w:rFonts w:ascii="Symbol" w:hAnsi="Symbol" w:hint="default"/>
      </w:rPr>
    </w:lvl>
    <w:lvl w:ilvl="1" w:tplc="0602E3A8" w:tentative="1">
      <w:start w:val="1"/>
      <w:numFmt w:val="bullet"/>
      <w:lvlText w:val="o"/>
      <w:lvlJc w:val="left"/>
      <w:pPr>
        <w:ind w:left="1440" w:hanging="360"/>
      </w:pPr>
      <w:rPr>
        <w:rFonts w:ascii="Courier New" w:hAnsi="Courier New" w:cs="Courier New" w:hint="default"/>
      </w:rPr>
    </w:lvl>
    <w:lvl w:ilvl="2" w:tplc="60E2548E" w:tentative="1">
      <w:start w:val="1"/>
      <w:numFmt w:val="bullet"/>
      <w:lvlText w:val=""/>
      <w:lvlJc w:val="left"/>
      <w:pPr>
        <w:ind w:left="2160" w:hanging="360"/>
      </w:pPr>
      <w:rPr>
        <w:rFonts w:ascii="Wingdings" w:hAnsi="Wingdings" w:hint="default"/>
      </w:rPr>
    </w:lvl>
    <w:lvl w:ilvl="3" w:tplc="5D3A04D2" w:tentative="1">
      <w:start w:val="1"/>
      <w:numFmt w:val="bullet"/>
      <w:lvlText w:val=""/>
      <w:lvlJc w:val="left"/>
      <w:pPr>
        <w:ind w:left="2880" w:hanging="360"/>
      </w:pPr>
      <w:rPr>
        <w:rFonts w:ascii="Symbol" w:hAnsi="Symbol" w:hint="default"/>
      </w:rPr>
    </w:lvl>
    <w:lvl w:ilvl="4" w:tplc="29CCC338" w:tentative="1">
      <w:start w:val="1"/>
      <w:numFmt w:val="bullet"/>
      <w:lvlText w:val="o"/>
      <w:lvlJc w:val="left"/>
      <w:pPr>
        <w:ind w:left="3600" w:hanging="360"/>
      </w:pPr>
      <w:rPr>
        <w:rFonts w:ascii="Courier New" w:hAnsi="Courier New" w:cs="Courier New" w:hint="default"/>
      </w:rPr>
    </w:lvl>
    <w:lvl w:ilvl="5" w:tplc="E472A4C2" w:tentative="1">
      <w:start w:val="1"/>
      <w:numFmt w:val="bullet"/>
      <w:lvlText w:val=""/>
      <w:lvlJc w:val="left"/>
      <w:pPr>
        <w:ind w:left="4320" w:hanging="360"/>
      </w:pPr>
      <w:rPr>
        <w:rFonts w:ascii="Wingdings" w:hAnsi="Wingdings" w:hint="default"/>
      </w:rPr>
    </w:lvl>
    <w:lvl w:ilvl="6" w:tplc="2690CFF2" w:tentative="1">
      <w:start w:val="1"/>
      <w:numFmt w:val="bullet"/>
      <w:lvlText w:val=""/>
      <w:lvlJc w:val="left"/>
      <w:pPr>
        <w:ind w:left="5040" w:hanging="360"/>
      </w:pPr>
      <w:rPr>
        <w:rFonts w:ascii="Symbol" w:hAnsi="Symbol" w:hint="default"/>
      </w:rPr>
    </w:lvl>
    <w:lvl w:ilvl="7" w:tplc="2E8289DC" w:tentative="1">
      <w:start w:val="1"/>
      <w:numFmt w:val="bullet"/>
      <w:lvlText w:val="o"/>
      <w:lvlJc w:val="left"/>
      <w:pPr>
        <w:ind w:left="5760" w:hanging="360"/>
      </w:pPr>
      <w:rPr>
        <w:rFonts w:ascii="Courier New" w:hAnsi="Courier New" w:cs="Courier New" w:hint="default"/>
      </w:rPr>
    </w:lvl>
    <w:lvl w:ilvl="8" w:tplc="29C6E268"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8"/>
  </w:num>
  <w:num w:numId="5">
    <w:abstractNumId w:val="17"/>
  </w:num>
  <w:num w:numId="6">
    <w:abstractNumId w:val="1"/>
  </w:num>
  <w:num w:numId="7">
    <w:abstractNumId w:val="3"/>
  </w:num>
  <w:num w:numId="8">
    <w:abstractNumId w:val="0"/>
  </w:num>
  <w:num w:numId="9">
    <w:abstractNumId w:val="7"/>
  </w:num>
  <w:num w:numId="10">
    <w:abstractNumId w:val="13"/>
  </w:num>
  <w:num w:numId="11">
    <w:abstractNumId w:val="19"/>
  </w:num>
  <w:num w:numId="12">
    <w:abstractNumId w:val="9"/>
  </w:num>
  <w:num w:numId="13">
    <w:abstractNumId w:val="16"/>
  </w:num>
  <w:num w:numId="14">
    <w:abstractNumId w:val="10"/>
  </w:num>
  <w:num w:numId="15">
    <w:abstractNumId w:val="11"/>
  </w:num>
  <w:num w:numId="16">
    <w:abstractNumId w:val="12"/>
  </w:num>
  <w:num w:numId="17">
    <w:abstractNumId w:val="5"/>
  </w:num>
  <w:num w:numId="18">
    <w:abstractNumId w:val="2"/>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00"/>
    <w:rsid w:val="00003156"/>
    <w:rsid w:val="00017D3A"/>
    <w:rsid w:val="00023555"/>
    <w:rsid w:val="000257A6"/>
    <w:rsid w:val="00031F01"/>
    <w:rsid w:val="00040456"/>
    <w:rsid w:val="00042AB1"/>
    <w:rsid w:val="00043A9F"/>
    <w:rsid w:val="000473A4"/>
    <w:rsid w:val="0004788C"/>
    <w:rsid w:val="000505EC"/>
    <w:rsid w:val="000524BD"/>
    <w:rsid w:val="000566C1"/>
    <w:rsid w:val="00056FC1"/>
    <w:rsid w:val="00062CFC"/>
    <w:rsid w:val="00066239"/>
    <w:rsid w:val="00067215"/>
    <w:rsid w:val="00070522"/>
    <w:rsid w:val="0007194D"/>
    <w:rsid w:val="0007220C"/>
    <w:rsid w:val="00083110"/>
    <w:rsid w:val="00085949"/>
    <w:rsid w:val="00095E16"/>
    <w:rsid w:val="000A0494"/>
    <w:rsid w:val="000A13C3"/>
    <w:rsid w:val="000A72C0"/>
    <w:rsid w:val="000B4202"/>
    <w:rsid w:val="000B5583"/>
    <w:rsid w:val="000B6F8A"/>
    <w:rsid w:val="000B7ED1"/>
    <w:rsid w:val="000D0FA1"/>
    <w:rsid w:val="000D52E8"/>
    <w:rsid w:val="000D6FFB"/>
    <w:rsid w:val="000E4DB1"/>
    <w:rsid w:val="000F16C8"/>
    <w:rsid w:val="000F3E1B"/>
    <w:rsid w:val="000F49B4"/>
    <w:rsid w:val="00113995"/>
    <w:rsid w:val="00147B55"/>
    <w:rsid w:val="00161247"/>
    <w:rsid w:val="00164F31"/>
    <w:rsid w:val="00170D7C"/>
    <w:rsid w:val="00173581"/>
    <w:rsid w:val="0017648C"/>
    <w:rsid w:val="001815B6"/>
    <w:rsid w:val="001A420D"/>
    <w:rsid w:val="001A7CBD"/>
    <w:rsid w:val="001B0611"/>
    <w:rsid w:val="001B199B"/>
    <w:rsid w:val="001B1D1F"/>
    <w:rsid w:val="001B2756"/>
    <w:rsid w:val="001B5198"/>
    <w:rsid w:val="001C1FE3"/>
    <w:rsid w:val="001D37E1"/>
    <w:rsid w:val="001E13C5"/>
    <w:rsid w:val="001E61EC"/>
    <w:rsid w:val="001E701F"/>
    <w:rsid w:val="001F1687"/>
    <w:rsid w:val="00202D69"/>
    <w:rsid w:val="002075E9"/>
    <w:rsid w:val="002118AB"/>
    <w:rsid w:val="002127C4"/>
    <w:rsid w:val="00214336"/>
    <w:rsid w:val="00216C3D"/>
    <w:rsid w:val="00220A08"/>
    <w:rsid w:val="00222449"/>
    <w:rsid w:val="00226872"/>
    <w:rsid w:val="00230665"/>
    <w:rsid w:val="00235A19"/>
    <w:rsid w:val="00237921"/>
    <w:rsid w:val="00245882"/>
    <w:rsid w:val="002540C6"/>
    <w:rsid w:val="00256F62"/>
    <w:rsid w:val="002570B8"/>
    <w:rsid w:val="002640A4"/>
    <w:rsid w:val="00264768"/>
    <w:rsid w:val="0027438E"/>
    <w:rsid w:val="00282803"/>
    <w:rsid w:val="00292C6B"/>
    <w:rsid w:val="0029438F"/>
    <w:rsid w:val="00294717"/>
    <w:rsid w:val="002A5DA9"/>
    <w:rsid w:val="002B2652"/>
    <w:rsid w:val="002D17C4"/>
    <w:rsid w:val="002E5BC0"/>
    <w:rsid w:val="002F0B3F"/>
    <w:rsid w:val="00302A76"/>
    <w:rsid w:val="00317897"/>
    <w:rsid w:val="00322B85"/>
    <w:rsid w:val="00324F69"/>
    <w:rsid w:val="00325506"/>
    <w:rsid w:val="00327945"/>
    <w:rsid w:val="0033169F"/>
    <w:rsid w:val="00333B47"/>
    <w:rsid w:val="00333DA5"/>
    <w:rsid w:val="0033402D"/>
    <w:rsid w:val="00336D87"/>
    <w:rsid w:val="00346CD2"/>
    <w:rsid w:val="00355999"/>
    <w:rsid w:val="0036226E"/>
    <w:rsid w:val="00364D63"/>
    <w:rsid w:val="00372CC5"/>
    <w:rsid w:val="003740F2"/>
    <w:rsid w:val="0038430E"/>
    <w:rsid w:val="003909DF"/>
    <w:rsid w:val="0039311B"/>
    <w:rsid w:val="00393584"/>
    <w:rsid w:val="00395540"/>
    <w:rsid w:val="00395F6C"/>
    <w:rsid w:val="003A04CC"/>
    <w:rsid w:val="003B5755"/>
    <w:rsid w:val="003C2624"/>
    <w:rsid w:val="003C3A74"/>
    <w:rsid w:val="003C6AE8"/>
    <w:rsid w:val="003D2FA4"/>
    <w:rsid w:val="003D75FC"/>
    <w:rsid w:val="003E35F8"/>
    <w:rsid w:val="003E53A8"/>
    <w:rsid w:val="003E71C8"/>
    <w:rsid w:val="003E7D46"/>
    <w:rsid w:val="003E7F0F"/>
    <w:rsid w:val="003F0B66"/>
    <w:rsid w:val="003F5ED9"/>
    <w:rsid w:val="0040016A"/>
    <w:rsid w:val="0041398C"/>
    <w:rsid w:val="00416B11"/>
    <w:rsid w:val="0042111B"/>
    <w:rsid w:val="00422940"/>
    <w:rsid w:val="00432E19"/>
    <w:rsid w:val="00446D49"/>
    <w:rsid w:val="004536E8"/>
    <w:rsid w:val="004768EB"/>
    <w:rsid w:val="004854E1"/>
    <w:rsid w:val="0049553F"/>
    <w:rsid w:val="00495F7A"/>
    <w:rsid w:val="004A464E"/>
    <w:rsid w:val="004B0897"/>
    <w:rsid w:val="004C26CE"/>
    <w:rsid w:val="004E3974"/>
    <w:rsid w:val="004E5515"/>
    <w:rsid w:val="004E6338"/>
    <w:rsid w:val="004F32A5"/>
    <w:rsid w:val="00501A68"/>
    <w:rsid w:val="005037E3"/>
    <w:rsid w:val="00510528"/>
    <w:rsid w:val="00523911"/>
    <w:rsid w:val="00533703"/>
    <w:rsid w:val="00535FDB"/>
    <w:rsid w:val="005422E9"/>
    <w:rsid w:val="00551D6D"/>
    <w:rsid w:val="00552A37"/>
    <w:rsid w:val="00570100"/>
    <w:rsid w:val="0057033D"/>
    <w:rsid w:val="00573399"/>
    <w:rsid w:val="00576F0A"/>
    <w:rsid w:val="00591FAD"/>
    <w:rsid w:val="00593B8B"/>
    <w:rsid w:val="0059483B"/>
    <w:rsid w:val="005A6ECD"/>
    <w:rsid w:val="005B04F2"/>
    <w:rsid w:val="005B0A8C"/>
    <w:rsid w:val="005B35BC"/>
    <w:rsid w:val="005B72D9"/>
    <w:rsid w:val="005C569E"/>
    <w:rsid w:val="005D47C9"/>
    <w:rsid w:val="005D5521"/>
    <w:rsid w:val="005D6C1B"/>
    <w:rsid w:val="005E2D23"/>
    <w:rsid w:val="005E551F"/>
    <w:rsid w:val="005E63CA"/>
    <w:rsid w:val="005F0218"/>
    <w:rsid w:val="005F038B"/>
    <w:rsid w:val="005F19D9"/>
    <w:rsid w:val="005F386C"/>
    <w:rsid w:val="005F4BCA"/>
    <w:rsid w:val="00605C6F"/>
    <w:rsid w:val="006065C0"/>
    <w:rsid w:val="00612C4E"/>
    <w:rsid w:val="00616621"/>
    <w:rsid w:val="006167E0"/>
    <w:rsid w:val="006171DB"/>
    <w:rsid w:val="006230AE"/>
    <w:rsid w:val="00623A49"/>
    <w:rsid w:val="0062472A"/>
    <w:rsid w:val="006349DA"/>
    <w:rsid w:val="006424F1"/>
    <w:rsid w:val="00652259"/>
    <w:rsid w:val="0065499A"/>
    <w:rsid w:val="00660FE2"/>
    <w:rsid w:val="00661F94"/>
    <w:rsid w:val="006758A2"/>
    <w:rsid w:val="006A23F1"/>
    <w:rsid w:val="006C302C"/>
    <w:rsid w:val="006C4B5F"/>
    <w:rsid w:val="006C4D79"/>
    <w:rsid w:val="006C4FB3"/>
    <w:rsid w:val="006C4FCB"/>
    <w:rsid w:val="006D478D"/>
    <w:rsid w:val="006D4FAF"/>
    <w:rsid w:val="006E6570"/>
    <w:rsid w:val="006E6F03"/>
    <w:rsid w:val="006F0F5B"/>
    <w:rsid w:val="00710365"/>
    <w:rsid w:val="00712B11"/>
    <w:rsid w:val="00722053"/>
    <w:rsid w:val="007231B9"/>
    <w:rsid w:val="007426BD"/>
    <w:rsid w:val="00743412"/>
    <w:rsid w:val="007441A8"/>
    <w:rsid w:val="007451C6"/>
    <w:rsid w:val="00752CA5"/>
    <w:rsid w:val="00753489"/>
    <w:rsid w:val="007538ED"/>
    <w:rsid w:val="00771E62"/>
    <w:rsid w:val="007A061C"/>
    <w:rsid w:val="007A1ADC"/>
    <w:rsid w:val="007A209B"/>
    <w:rsid w:val="007A40F5"/>
    <w:rsid w:val="007E220F"/>
    <w:rsid w:val="007E4CA4"/>
    <w:rsid w:val="007E5ADD"/>
    <w:rsid w:val="007F3646"/>
    <w:rsid w:val="007F4F26"/>
    <w:rsid w:val="007F6B5B"/>
    <w:rsid w:val="007F7DCA"/>
    <w:rsid w:val="00802F10"/>
    <w:rsid w:val="00805873"/>
    <w:rsid w:val="00820E52"/>
    <w:rsid w:val="008224D9"/>
    <w:rsid w:val="008241C5"/>
    <w:rsid w:val="00824605"/>
    <w:rsid w:val="00833E58"/>
    <w:rsid w:val="008467DD"/>
    <w:rsid w:val="00854B60"/>
    <w:rsid w:val="00854C8F"/>
    <w:rsid w:val="00860DF2"/>
    <w:rsid w:val="00873BF9"/>
    <w:rsid w:val="00877ED4"/>
    <w:rsid w:val="0088275C"/>
    <w:rsid w:val="008840F7"/>
    <w:rsid w:val="0088660C"/>
    <w:rsid w:val="008933C0"/>
    <w:rsid w:val="008A34B8"/>
    <w:rsid w:val="008A38D6"/>
    <w:rsid w:val="008B004C"/>
    <w:rsid w:val="008B625D"/>
    <w:rsid w:val="008C4755"/>
    <w:rsid w:val="008C5C0C"/>
    <w:rsid w:val="008D388B"/>
    <w:rsid w:val="008D40BC"/>
    <w:rsid w:val="008F69D9"/>
    <w:rsid w:val="00907E5E"/>
    <w:rsid w:val="00910C55"/>
    <w:rsid w:val="00911ABC"/>
    <w:rsid w:val="00920F09"/>
    <w:rsid w:val="00923366"/>
    <w:rsid w:val="009237C3"/>
    <w:rsid w:val="00936821"/>
    <w:rsid w:val="00936C83"/>
    <w:rsid w:val="0094050F"/>
    <w:rsid w:val="00942614"/>
    <w:rsid w:val="009457B6"/>
    <w:rsid w:val="00950716"/>
    <w:rsid w:val="009524AB"/>
    <w:rsid w:val="009535B4"/>
    <w:rsid w:val="00956B94"/>
    <w:rsid w:val="00982DB2"/>
    <w:rsid w:val="009849A8"/>
    <w:rsid w:val="00990C17"/>
    <w:rsid w:val="009934EE"/>
    <w:rsid w:val="009957BF"/>
    <w:rsid w:val="009A524A"/>
    <w:rsid w:val="009B4795"/>
    <w:rsid w:val="009B6D6A"/>
    <w:rsid w:val="009C0B45"/>
    <w:rsid w:val="009C4B1D"/>
    <w:rsid w:val="009D01B4"/>
    <w:rsid w:val="009D0CDA"/>
    <w:rsid w:val="009D7008"/>
    <w:rsid w:val="009E1277"/>
    <w:rsid w:val="009E1FA6"/>
    <w:rsid w:val="009E5B09"/>
    <w:rsid w:val="00A10819"/>
    <w:rsid w:val="00A27048"/>
    <w:rsid w:val="00A31E2C"/>
    <w:rsid w:val="00A521D4"/>
    <w:rsid w:val="00A6238D"/>
    <w:rsid w:val="00A65C64"/>
    <w:rsid w:val="00A67DE4"/>
    <w:rsid w:val="00A7009A"/>
    <w:rsid w:val="00A72852"/>
    <w:rsid w:val="00A75BD2"/>
    <w:rsid w:val="00A83EF2"/>
    <w:rsid w:val="00A90474"/>
    <w:rsid w:val="00AA5CCD"/>
    <w:rsid w:val="00AA6AB9"/>
    <w:rsid w:val="00AB21BA"/>
    <w:rsid w:val="00AB2B61"/>
    <w:rsid w:val="00AB73A5"/>
    <w:rsid w:val="00AC61AA"/>
    <w:rsid w:val="00AD0126"/>
    <w:rsid w:val="00AD3906"/>
    <w:rsid w:val="00AD5CF0"/>
    <w:rsid w:val="00AE2E13"/>
    <w:rsid w:val="00AF01D1"/>
    <w:rsid w:val="00B017B8"/>
    <w:rsid w:val="00B06761"/>
    <w:rsid w:val="00B14105"/>
    <w:rsid w:val="00B16CD9"/>
    <w:rsid w:val="00B17E66"/>
    <w:rsid w:val="00B25B80"/>
    <w:rsid w:val="00B261C9"/>
    <w:rsid w:val="00B2651F"/>
    <w:rsid w:val="00B33FEF"/>
    <w:rsid w:val="00B35F94"/>
    <w:rsid w:val="00B42670"/>
    <w:rsid w:val="00B479A4"/>
    <w:rsid w:val="00B6556C"/>
    <w:rsid w:val="00B70B57"/>
    <w:rsid w:val="00B8197F"/>
    <w:rsid w:val="00B877E5"/>
    <w:rsid w:val="00B96079"/>
    <w:rsid w:val="00B96F54"/>
    <w:rsid w:val="00BA2B49"/>
    <w:rsid w:val="00BB035A"/>
    <w:rsid w:val="00BC0D11"/>
    <w:rsid w:val="00BC3C1A"/>
    <w:rsid w:val="00BD56F8"/>
    <w:rsid w:val="00BE41BF"/>
    <w:rsid w:val="00BF3A7F"/>
    <w:rsid w:val="00BF66B0"/>
    <w:rsid w:val="00BF75A4"/>
    <w:rsid w:val="00C01A9B"/>
    <w:rsid w:val="00C02464"/>
    <w:rsid w:val="00C07C48"/>
    <w:rsid w:val="00C136E1"/>
    <w:rsid w:val="00C13D80"/>
    <w:rsid w:val="00C16A50"/>
    <w:rsid w:val="00C208AE"/>
    <w:rsid w:val="00C244C0"/>
    <w:rsid w:val="00C2676A"/>
    <w:rsid w:val="00C26D1E"/>
    <w:rsid w:val="00C30A49"/>
    <w:rsid w:val="00C337C8"/>
    <w:rsid w:val="00C4285E"/>
    <w:rsid w:val="00C6606E"/>
    <w:rsid w:val="00C6610E"/>
    <w:rsid w:val="00C67405"/>
    <w:rsid w:val="00C707A5"/>
    <w:rsid w:val="00C74474"/>
    <w:rsid w:val="00C84A4F"/>
    <w:rsid w:val="00CA73D8"/>
    <w:rsid w:val="00CA7E9C"/>
    <w:rsid w:val="00CB08BA"/>
    <w:rsid w:val="00CB0957"/>
    <w:rsid w:val="00CB19A2"/>
    <w:rsid w:val="00CB3066"/>
    <w:rsid w:val="00CC21C6"/>
    <w:rsid w:val="00CC4FBC"/>
    <w:rsid w:val="00CC7CC4"/>
    <w:rsid w:val="00CD3714"/>
    <w:rsid w:val="00CD510A"/>
    <w:rsid w:val="00CD680A"/>
    <w:rsid w:val="00CD788D"/>
    <w:rsid w:val="00CE1C55"/>
    <w:rsid w:val="00CE2685"/>
    <w:rsid w:val="00CF03D1"/>
    <w:rsid w:val="00CF232F"/>
    <w:rsid w:val="00CF5298"/>
    <w:rsid w:val="00D03EE3"/>
    <w:rsid w:val="00D16A9B"/>
    <w:rsid w:val="00D2092E"/>
    <w:rsid w:val="00D233E9"/>
    <w:rsid w:val="00D2630D"/>
    <w:rsid w:val="00D2761F"/>
    <w:rsid w:val="00D40C86"/>
    <w:rsid w:val="00D448E1"/>
    <w:rsid w:val="00D46348"/>
    <w:rsid w:val="00D47018"/>
    <w:rsid w:val="00D47CA7"/>
    <w:rsid w:val="00D50C51"/>
    <w:rsid w:val="00D54779"/>
    <w:rsid w:val="00D57770"/>
    <w:rsid w:val="00D6254C"/>
    <w:rsid w:val="00D661A0"/>
    <w:rsid w:val="00D7218E"/>
    <w:rsid w:val="00D7394C"/>
    <w:rsid w:val="00D74B5E"/>
    <w:rsid w:val="00D80742"/>
    <w:rsid w:val="00D91A29"/>
    <w:rsid w:val="00D91E1F"/>
    <w:rsid w:val="00DA3CE3"/>
    <w:rsid w:val="00DB0244"/>
    <w:rsid w:val="00DC023C"/>
    <w:rsid w:val="00DC15B4"/>
    <w:rsid w:val="00DC4C1A"/>
    <w:rsid w:val="00DC7844"/>
    <w:rsid w:val="00DD147D"/>
    <w:rsid w:val="00DD45D5"/>
    <w:rsid w:val="00DD7FC5"/>
    <w:rsid w:val="00DE18F3"/>
    <w:rsid w:val="00DE7FF8"/>
    <w:rsid w:val="00DF590F"/>
    <w:rsid w:val="00E01ADE"/>
    <w:rsid w:val="00E03FFF"/>
    <w:rsid w:val="00E075F7"/>
    <w:rsid w:val="00E1607B"/>
    <w:rsid w:val="00E214A3"/>
    <w:rsid w:val="00E41A09"/>
    <w:rsid w:val="00E469D5"/>
    <w:rsid w:val="00E539FE"/>
    <w:rsid w:val="00E55FF8"/>
    <w:rsid w:val="00E6695B"/>
    <w:rsid w:val="00E7006B"/>
    <w:rsid w:val="00E740C8"/>
    <w:rsid w:val="00E767CD"/>
    <w:rsid w:val="00E83C20"/>
    <w:rsid w:val="00E86A84"/>
    <w:rsid w:val="00E956A5"/>
    <w:rsid w:val="00EA1657"/>
    <w:rsid w:val="00EA37DA"/>
    <w:rsid w:val="00EA7DDD"/>
    <w:rsid w:val="00EB3B9B"/>
    <w:rsid w:val="00ED1790"/>
    <w:rsid w:val="00ED2495"/>
    <w:rsid w:val="00ED2C86"/>
    <w:rsid w:val="00ED4E1A"/>
    <w:rsid w:val="00EE63ED"/>
    <w:rsid w:val="00EF78D9"/>
    <w:rsid w:val="00F1779A"/>
    <w:rsid w:val="00F24330"/>
    <w:rsid w:val="00F3152B"/>
    <w:rsid w:val="00F36FFB"/>
    <w:rsid w:val="00F40202"/>
    <w:rsid w:val="00F44307"/>
    <w:rsid w:val="00F56658"/>
    <w:rsid w:val="00F60D66"/>
    <w:rsid w:val="00F62861"/>
    <w:rsid w:val="00F654E6"/>
    <w:rsid w:val="00F661AC"/>
    <w:rsid w:val="00F77625"/>
    <w:rsid w:val="00F948CC"/>
    <w:rsid w:val="00F95864"/>
    <w:rsid w:val="00FA0F6F"/>
    <w:rsid w:val="00FA3161"/>
    <w:rsid w:val="00FC2ED3"/>
    <w:rsid w:val="00FD0656"/>
    <w:rsid w:val="00FD23DB"/>
    <w:rsid w:val="00FD7555"/>
    <w:rsid w:val="00FE0F65"/>
    <w:rsid w:val="00FE1D49"/>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C3D8"/>
  <w15:docId w15:val="{3A4497AD-94B8-4C50-BDA4-AFF226D9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05"/>
    <w:pPr>
      <w:spacing w:after="0" w:line="240" w:lineRule="auto"/>
    </w:pPr>
    <w:rPr>
      <w:rFonts w:eastAsia="Times New Roman" w:cs="Times New Roman"/>
      <w:szCs w:val="24"/>
      <w:lang w:eastAsia="en-GB"/>
    </w:rPr>
  </w:style>
  <w:style w:type="paragraph" w:styleId="Heading2">
    <w:name w:val="heading 2"/>
    <w:basedOn w:val="Normal"/>
    <w:link w:val="Heading2Char"/>
    <w:uiPriority w:val="9"/>
    <w:unhideWhenUsed/>
    <w:qFormat/>
    <w:rsid w:val="00920F09"/>
    <w:pPr>
      <w:spacing w:before="100" w:beforeAutospacing="1" w:after="100" w:afterAutospacing="1"/>
      <w:outlineLvl w:val="1"/>
    </w:pPr>
    <w:rPr>
      <w:rFonts w:ascii="Times New Roman" w:eastAsiaTheme="minorHAnsi" w:hAnsi="Times New Roman"/>
      <w:b/>
      <w:bCs/>
      <w:sz w:val="36"/>
      <w:szCs w:val="36"/>
    </w:rPr>
  </w:style>
  <w:style w:type="paragraph" w:styleId="Heading4">
    <w:name w:val="heading 4"/>
    <w:basedOn w:val="Normal"/>
    <w:next w:val="Normal"/>
    <w:link w:val="Heading4Char"/>
    <w:uiPriority w:val="9"/>
    <w:semiHidden/>
    <w:unhideWhenUsed/>
    <w:qFormat/>
    <w:rsid w:val="00336D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513"/>
    <w:pPr>
      <w:spacing w:after="0" w:line="240" w:lineRule="auto"/>
    </w:pPr>
    <w:rPr>
      <w:rFonts w:cs="Arial"/>
      <w:szCs w:val="24"/>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115513"/>
    <w:pPr>
      <w:ind w:left="720"/>
      <w:contextualSpacing/>
    </w:pPr>
  </w:style>
  <w:style w:type="table" w:styleId="TableGrid">
    <w:name w:val="Table Grid"/>
    <w:basedOn w:val="TableNormal"/>
    <w:uiPriority w:val="39"/>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basedOn w:val="DefaultParagraphFont"/>
    <w:link w:val="ListParagraph"/>
    <w:uiPriority w:val="34"/>
    <w:qFormat/>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 w:type="character" w:customStyle="1" w:styleId="NoSpacingChar">
    <w:name w:val="No Spacing Char"/>
    <w:link w:val="NoSpacing"/>
    <w:uiPriority w:val="1"/>
    <w:locked/>
    <w:rsid w:val="00294717"/>
    <w:rPr>
      <w:rFonts w:cs="Arial"/>
      <w:szCs w:val="24"/>
    </w:rPr>
  </w:style>
  <w:style w:type="paragraph" w:styleId="Revision">
    <w:name w:val="Revision"/>
    <w:hidden/>
    <w:uiPriority w:val="99"/>
    <w:semiHidden/>
    <w:rsid w:val="00B924EE"/>
    <w:pPr>
      <w:spacing w:after="0"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142C5E"/>
    <w:rPr>
      <w:color w:val="0000FF"/>
      <w:u w:val="single"/>
    </w:rPr>
  </w:style>
  <w:style w:type="paragraph" w:styleId="NormalWeb">
    <w:name w:val="Normal (Web)"/>
    <w:basedOn w:val="Normal"/>
    <w:uiPriority w:val="99"/>
    <w:unhideWhenUsed/>
    <w:rsid w:val="00142C5E"/>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142C5E"/>
    <w:rPr>
      <w:color w:val="800080" w:themeColor="followedHyperlink"/>
      <w:u w:val="single"/>
    </w:rPr>
  </w:style>
  <w:style w:type="paragraph" w:customStyle="1" w:styleId="DeptBullets">
    <w:name w:val="DeptBullets"/>
    <w:basedOn w:val="Normal"/>
    <w:rsid w:val="00C30A49"/>
    <w:pPr>
      <w:numPr>
        <w:numId w:val="10"/>
      </w:numPr>
      <w:overflowPunct w:val="0"/>
      <w:autoSpaceDE w:val="0"/>
      <w:autoSpaceDN w:val="0"/>
      <w:spacing w:after="240"/>
    </w:pPr>
    <w:rPr>
      <w:rFonts w:eastAsia="Calibri" w:cs="Arial"/>
      <w:lang w:eastAsia="en-US"/>
    </w:rPr>
  </w:style>
  <w:style w:type="character" w:customStyle="1" w:styleId="Heading2Char">
    <w:name w:val="Heading 2 Char"/>
    <w:basedOn w:val="DefaultParagraphFont"/>
    <w:link w:val="Heading2"/>
    <w:uiPriority w:val="9"/>
    <w:rsid w:val="00920F09"/>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336D87"/>
    <w:rPr>
      <w:rFonts w:asciiTheme="majorHAnsi" w:eastAsiaTheme="majorEastAsia" w:hAnsiTheme="majorHAnsi" w:cstheme="majorBidi"/>
      <w:i/>
      <w:iCs/>
      <w:color w:val="365F91" w:themeColor="accent1" w:themeShade="BF"/>
      <w:szCs w:val="24"/>
      <w:lang w:eastAsia="en-GB"/>
    </w:rPr>
  </w:style>
  <w:style w:type="table" w:customStyle="1" w:styleId="TableGrid1">
    <w:name w:val="Table Grid1"/>
    <w:basedOn w:val="TableNormal"/>
    <w:next w:val="TableGrid"/>
    <w:uiPriority w:val="39"/>
    <w:rsid w:val="000A13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1250">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546329161">
      <w:bodyDiv w:val="1"/>
      <w:marLeft w:val="0"/>
      <w:marRight w:val="0"/>
      <w:marTop w:val="0"/>
      <w:marBottom w:val="0"/>
      <w:divBdr>
        <w:top w:val="none" w:sz="0" w:space="0" w:color="auto"/>
        <w:left w:val="none" w:sz="0" w:space="0" w:color="auto"/>
        <w:bottom w:val="none" w:sz="0" w:space="0" w:color="auto"/>
        <w:right w:val="none" w:sz="0" w:space="0" w:color="auto"/>
      </w:divBdr>
    </w:div>
    <w:div w:id="16818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D020-A9F6-417F-B0FB-6E317538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Alker, Craig</cp:lastModifiedBy>
  <cp:revision>21</cp:revision>
  <cp:lastPrinted>2015-12-18T12:39:00Z</cp:lastPrinted>
  <dcterms:created xsi:type="dcterms:W3CDTF">2022-12-27T09:50:00Z</dcterms:created>
  <dcterms:modified xsi:type="dcterms:W3CDTF">2023-01-10T18:13:00Z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bb7816b49d716fa35f5e399753902913299c606c8d3da24696f95be0f72e5121</vt:lpwstr>
  </property>
</Properties>
</file>